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2D6A" w14:textId="40C929A2" w:rsidR="00C11C01" w:rsidRDefault="00C11C01" w:rsidP="008F0183">
      <w:pPr>
        <w:pStyle w:val="CoverText"/>
        <w:jc w:val="center"/>
        <w:rPr>
          <w:bCs/>
        </w:rPr>
      </w:pPr>
      <w:r w:rsidRPr="005D2952">
        <w:rPr>
          <w:noProof/>
          <w:u w:val="none"/>
        </w:rPr>
        <w:drawing>
          <wp:anchor distT="0" distB="0" distL="114300" distR="114300" simplePos="0" relativeHeight="251658240" behindDoc="1" locked="0" layoutInCell="1" allowOverlap="1" wp14:anchorId="33915180" wp14:editId="41626238">
            <wp:simplePos x="0" y="0"/>
            <wp:positionH relativeFrom="column">
              <wp:posOffset>2381250</wp:posOffset>
            </wp:positionH>
            <wp:positionV relativeFrom="paragraph">
              <wp:posOffset>0</wp:posOffset>
            </wp:positionV>
            <wp:extent cx="971550" cy="962025"/>
            <wp:effectExtent l="0" t="0" r="0" b="9525"/>
            <wp:wrapTopAndBottom/>
            <wp:docPr id="1" name="Picture 1" descr="C:\Users\QKI64Q\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KI64Q\OneDrive - Ministry of Justice\JudgmentTemplate\Templates\\crest.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anchor>
        </w:drawing>
      </w:r>
    </w:p>
    <w:p w14:paraId="489446E2" w14:textId="192C8163" w:rsidR="000A07C2" w:rsidRDefault="000A07C2" w:rsidP="000A07C2">
      <w:pPr>
        <w:pStyle w:val="CoverText"/>
        <w:jc w:val="left"/>
      </w:pPr>
      <w:bookmarkStart w:id="0" w:name="_Hlk532385279"/>
      <w:r>
        <w:rPr>
          <w:bCs/>
        </w:rPr>
        <w:t>Neutral Citation Number</w:t>
      </w:r>
      <w:r w:rsidRPr="00C11C01">
        <w:rPr>
          <w:bCs/>
          <w:szCs w:val="24"/>
        </w:rPr>
        <w:t xml:space="preserve">: </w:t>
      </w:r>
      <w:r w:rsidR="00C11C01" w:rsidRPr="00C11C01">
        <w:rPr>
          <w:bCs/>
          <w:szCs w:val="24"/>
        </w:rPr>
        <w:t>[201</w:t>
      </w:r>
      <w:r w:rsidR="00662F72">
        <w:rPr>
          <w:bCs/>
          <w:szCs w:val="24"/>
        </w:rPr>
        <w:t>9</w:t>
      </w:r>
      <w:r w:rsidR="00C11C01" w:rsidRPr="00C11C01">
        <w:rPr>
          <w:bCs/>
          <w:szCs w:val="24"/>
        </w:rPr>
        <w:t xml:space="preserve">] EWHC </w:t>
      </w:r>
      <w:bookmarkStart w:id="1" w:name="_GoBack"/>
      <w:bookmarkEnd w:id="1"/>
      <w:r w:rsidR="004A4BC4">
        <w:rPr>
          <w:bCs/>
          <w:szCs w:val="24"/>
        </w:rPr>
        <w:t>47</w:t>
      </w:r>
      <w:r w:rsidR="00C11C01" w:rsidRPr="00C11C01">
        <w:rPr>
          <w:bCs/>
          <w:szCs w:val="24"/>
        </w:rPr>
        <w:t xml:space="preserve"> (Ch)</w:t>
      </w:r>
    </w:p>
    <w:p w14:paraId="7D34967A" w14:textId="23913229" w:rsidR="000E78C3" w:rsidRDefault="00166C1A">
      <w:pPr>
        <w:pStyle w:val="CoverText"/>
      </w:pPr>
      <w:r>
        <w:t xml:space="preserve">Claim No: </w:t>
      </w:r>
      <w:r w:rsidR="001441F6">
        <w:t>CP</w:t>
      </w:r>
      <w:r w:rsidR="00545162">
        <w:t>-2017-000009</w:t>
      </w:r>
    </w:p>
    <w:p w14:paraId="657DBE5A" w14:textId="481C4DFE"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3FC829A" w14:textId="77777777" w:rsidR="000E78C3" w:rsidRDefault="00166C1A">
      <w:pPr>
        <w:rPr>
          <w:b/>
          <w:spacing w:val="-3"/>
          <w:u w:val="single"/>
        </w:rPr>
      </w:pPr>
      <w:r>
        <w:rPr>
          <w:b/>
          <w:spacing w:val="-3"/>
          <w:u w:val="single"/>
        </w:rPr>
        <w:t>BUSINESS AND PROPERTY COURTS OF ENGLAND AND WALES</w:t>
      </w:r>
    </w:p>
    <w:p w14:paraId="292B03BF" w14:textId="068683E9" w:rsidR="000E78C3" w:rsidRDefault="00545162">
      <w:pPr>
        <w:rPr>
          <w:b/>
          <w:spacing w:val="-3"/>
          <w:u w:val="single"/>
        </w:rPr>
      </w:pPr>
      <w:r>
        <w:rPr>
          <w:b/>
          <w:spacing w:val="-3"/>
          <w:u w:val="single"/>
        </w:rPr>
        <w:t>COMPETITION</w:t>
      </w:r>
      <w:r w:rsidR="00AF1947">
        <w:rPr>
          <w:b/>
          <w:spacing w:val="-3"/>
          <w:u w:val="single"/>
        </w:rPr>
        <w:t xml:space="preserve"> LIST (ChD)</w:t>
      </w:r>
    </w:p>
    <w:p w14:paraId="5F6258FE" w14:textId="096FC25C" w:rsidR="000E78C3" w:rsidRDefault="00166C1A">
      <w:pPr>
        <w:pStyle w:val="CoverText"/>
      </w:pPr>
      <w:r>
        <w:t>Rolls Building</w:t>
      </w:r>
    </w:p>
    <w:p w14:paraId="1F7FF1BB" w14:textId="7FAAE8AF" w:rsidR="00C11C01" w:rsidRDefault="00C11C01">
      <w:pPr>
        <w:pStyle w:val="CoverText"/>
      </w:pPr>
      <w:r>
        <w:t>7 Rolls Building</w:t>
      </w:r>
    </w:p>
    <w:p w14:paraId="5AFD0062" w14:textId="77777777" w:rsidR="000E78C3" w:rsidRDefault="00166C1A">
      <w:pPr>
        <w:pStyle w:val="CoverText"/>
      </w:pPr>
      <w:r>
        <w:t>Fetter Lane</w:t>
      </w:r>
    </w:p>
    <w:p w14:paraId="37048FF6" w14:textId="77777777" w:rsidR="000E78C3" w:rsidRDefault="00166C1A">
      <w:pPr>
        <w:pStyle w:val="CoverText"/>
      </w:pPr>
      <w:r>
        <w:t>London EC4A 1NL</w:t>
      </w:r>
    </w:p>
    <w:p w14:paraId="45139A79" w14:textId="77777777" w:rsidR="000E78C3" w:rsidRDefault="000E78C3">
      <w:pPr>
        <w:jc w:val="right"/>
        <w:rPr>
          <w:spacing w:val="-3"/>
          <w:u w:val="single"/>
        </w:rPr>
      </w:pPr>
    </w:p>
    <w:p w14:paraId="1C19E016" w14:textId="54B6AB19" w:rsidR="000E78C3" w:rsidRDefault="00166C1A">
      <w:pPr>
        <w:pStyle w:val="CoverText"/>
      </w:pPr>
      <w:r>
        <w:t xml:space="preserve">Date: </w:t>
      </w:r>
      <w:r w:rsidR="004A4BC4">
        <w:t>16</w:t>
      </w:r>
      <w:r w:rsidR="006038AC">
        <w:t xml:space="preserve"> </w:t>
      </w:r>
      <w:r w:rsidR="00662F72">
        <w:t>January</w:t>
      </w:r>
      <w:r w:rsidR="00C11C01">
        <w:t xml:space="preserve"> 201</w:t>
      </w:r>
      <w:r w:rsidR="00662F72">
        <w:t>9</w:t>
      </w:r>
    </w:p>
    <w:p w14:paraId="27B67473" w14:textId="77777777" w:rsidR="000E78C3" w:rsidRDefault="000E78C3">
      <w:pPr>
        <w:rPr>
          <w:spacing w:val="-3"/>
        </w:rPr>
      </w:pPr>
    </w:p>
    <w:p w14:paraId="1D9E2C0F" w14:textId="77777777" w:rsidR="000E78C3" w:rsidRDefault="00166C1A">
      <w:pPr>
        <w:jc w:val="center"/>
      </w:pPr>
      <w:r>
        <w:rPr>
          <w:b/>
          <w:spacing w:val="-3"/>
        </w:rPr>
        <w:t>Before</w:t>
      </w:r>
      <w:r>
        <w:rPr>
          <w:spacing w:val="-3"/>
        </w:rPr>
        <w:t xml:space="preserve"> :</w:t>
      </w:r>
    </w:p>
    <w:p w14:paraId="580CEB7A" w14:textId="77777777" w:rsidR="000E78C3" w:rsidRDefault="000E78C3">
      <w:pPr>
        <w:jc w:val="center"/>
        <w:rPr>
          <w:spacing w:val="-3"/>
        </w:rPr>
      </w:pPr>
    </w:p>
    <w:p w14:paraId="02B291B9"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MARCUS SMITH</w:t>
      </w:r>
    </w:p>
    <w:p w14:paraId="178D16FD" w14:textId="77777777" w:rsidR="000E78C3" w:rsidRDefault="00166C1A">
      <w:pPr>
        <w:jc w:val="center"/>
        <w:rPr>
          <w:spacing w:val="-3"/>
        </w:rPr>
      </w:pPr>
      <w:r>
        <w:rPr>
          <w:spacing w:val="-3"/>
        </w:rPr>
        <w:t>- - - - - - - - - - - - - - - - - - - - -</w:t>
      </w:r>
    </w:p>
    <w:p w14:paraId="1AB7A4E8" w14:textId="550C208D" w:rsidR="000E78C3" w:rsidRDefault="00C519F4" w:rsidP="00C519F4">
      <w:pPr>
        <w:jc w:val="center"/>
        <w:rPr>
          <w:b/>
          <w:spacing w:val="-3"/>
        </w:rPr>
      </w:pPr>
      <w:r>
        <w:rPr>
          <w:b/>
          <w:spacing w:val="-3"/>
        </w:rPr>
        <w:t>Between:</w:t>
      </w:r>
    </w:p>
    <w:p w14:paraId="4D49A88C" w14:textId="77777777" w:rsidR="00C519F4" w:rsidRDefault="00C519F4" w:rsidP="00C519F4">
      <w:pPr>
        <w:jc w:val="center"/>
        <w:rPr>
          <w:b/>
          <w:spacing w:val="-3"/>
        </w:rPr>
      </w:pPr>
    </w:p>
    <w:tbl>
      <w:tblPr>
        <w:tblW w:w="9575" w:type="dxa"/>
        <w:tblInd w:w="-265" w:type="dxa"/>
        <w:tblLayout w:type="fixed"/>
        <w:tblCellMar>
          <w:left w:w="10" w:type="dxa"/>
          <w:right w:w="10" w:type="dxa"/>
        </w:tblCellMar>
        <w:tblLook w:val="04A0" w:firstRow="1" w:lastRow="0" w:firstColumn="1" w:lastColumn="0" w:noHBand="0" w:noVBand="1"/>
      </w:tblPr>
      <w:tblGrid>
        <w:gridCol w:w="1863"/>
        <w:gridCol w:w="5554"/>
        <w:gridCol w:w="2158"/>
      </w:tblGrid>
      <w:tr w:rsidR="000E78C3" w14:paraId="73EE05C8" w14:textId="77777777" w:rsidTr="0076607F">
        <w:trPr>
          <w:trHeight w:val="598"/>
        </w:trPr>
        <w:tc>
          <w:tcPr>
            <w:tcW w:w="1863" w:type="dxa"/>
            <w:shd w:val="clear" w:color="auto" w:fill="auto"/>
            <w:tcMar>
              <w:top w:w="0" w:type="dxa"/>
              <w:left w:w="108" w:type="dxa"/>
              <w:bottom w:w="0" w:type="dxa"/>
              <w:right w:w="108" w:type="dxa"/>
            </w:tcMar>
          </w:tcPr>
          <w:p w14:paraId="123E1D38" w14:textId="77777777" w:rsidR="000E78C3" w:rsidRDefault="000E78C3">
            <w:pPr>
              <w:rPr>
                <w:b/>
                <w:spacing w:val="-3"/>
              </w:rPr>
            </w:pPr>
          </w:p>
        </w:tc>
        <w:tc>
          <w:tcPr>
            <w:tcW w:w="5554" w:type="dxa"/>
            <w:shd w:val="clear" w:color="auto" w:fill="auto"/>
            <w:tcMar>
              <w:top w:w="0" w:type="dxa"/>
              <w:left w:w="108" w:type="dxa"/>
              <w:bottom w:w="0" w:type="dxa"/>
              <w:right w:w="108" w:type="dxa"/>
            </w:tcMar>
          </w:tcPr>
          <w:p w14:paraId="73F3A503" w14:textId="702248CF" w:rsidR="000E78C3" w:rsidRDefault="00311867">
            <w:pPr>
              <w:ind w:left="360"/>
              <w:jc w:val="center"/>
              <w:rPr>
                <w:b/>
                <w:spacing w:val="-3"/>
              </w:rPr>
            </w:pPr>
            <w:r>
              <w:rPr>
                <w:b/>
                <w:spacing w:val="-3"/>
              </w:rPr>
              <w:t>THE COMPETITION AND MARKETS AUTHORITY</w:t>
            </w:r>
          </w:p>
        </w:tc>
        <w:tc>
          <w:tcPr>
            <w:tcW w:w="2158" w:type="dxa"/>
            <w:shd w:val="clear" w:color="auto" w:fill="auto"/>
            <w:tcMar>
              <w:top w:w="0" w:type="dxa"/>
              <w:left w:w="108" w:type="dxa"/>
              <w:bottom w:w="0" w:type="dxa"/>
              <w:right w:w="108" w:type="dxa"/>
            </w:tcMar>
          </w:tcPr>
          <w:p w14:paraId="650E62B7"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2CBAE7EC" w14:textId="77777777" w:rsidTr="0076607F">
        <w:trPr>
          <w:trHeight w:val="290"/>
        </w:trPr>
        <w:tc>
          <w:tcPr>
            <w:tcW w:w="1863" w:type="dxa"/>
            <w:shd w:val="clear" w:color="auto" w:fill="auto"/>
            <w:tcMar>
              <w:top w:w="0" w:type="dxa"/>
              <w:left w:w="108" w:type="dxa"/>
              <w:bottom w:w="0" w:type="dxa"/>
              <w:right w:w="108" w:type="dxa"/>
            </w:tcMar>
          </w:tcPr>
          <w:p w14:paraId="0D60BACD" w14:textId="77777777" w:rsidR="000E78C3" w:rsidRDefault="000E78C3">
            <w:pPr>
              <w:rPr>
                <w:b/>
                <w:spacing w:val="-3"/>
              </w:rPr>
            </w:pPr>
          </w:p>
        </w:tc>
        <w:tc>
          <w:tcPr>
            <w:tcW w:w="5554" w:type="dxa"/>
            <w:shd w:val="clear" w:color="auto" w:fill="auto"/>
            <w:tcMar>
              <w:top w:w="0" w:type="dxa"/>
              <w:left w:w="108" w:type="dxa"/>
              <w:bottom w:w="0" w:type="dxa"/>
              <w:right w:w="108" w:type="dxa"/>
            </w:tcMar>
          </w:tcPr>
          <w:p w14:paraId="52EB08BD" w14:textId="77777777" w:rsidR="000E78C3" w:rsidRDefault="000E78C3">
            <w:pPr>
              <w:rPr>
                <w:b/>
                <w:spacing w:val="-3"/>
              </w:rPr>
            </w:pPr>
          </w:p>
        </w:tc>
        <w:tc>
          <w:tcPr>
            <w:tcW w:w="2158" w:type="dxa"/>
            <w:shd w:val="clear" w:color="auto" w:fill="auto"/>
            <w:tcMar>
              <w:top w:w="0" w:type="dxa"/>
              <w:left w:w="108" w:type="dxa"/>
              <w:bottom w:w="0" w:type="dxa"/>
              <w:right w:w="108" w:type="dxa"/>
            </w:tcMar>
          </w:tcPr>
          <w:p w14:paraId="1DBB1254" w14:textId="77777777" w:rsidR="000E78C3" w:rsidRDefault="00166C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Pr>
                <w:b w:val="0"/>
              </w:rPr>
              <w:t>Claimant</w:t>
            </w:r>
          </w:p>
        </w:tc>
      </w:tr>
      <w:tr w:rsidR="000E78C3" w14:paraId="02065B39" w14:textId="77777777" w:rsidTr="0076607F">
        <w:trPr>
          <w:trHeight w:val="306"/>
        </w:trPr>
        <w:tc>
          <w:tcPr>
            <w:tcW w:w="1863" w:type="dxa"/>
            <w:shd w:val="clear" w:color="auto" w:fill="auto"/>
            <w:tcMar>
              <w:top w:w="0" w:type="dxa"/>
              <w:left w:w="108" w:type="dxa"/>
              <w:bottom w:w="0" w:type="dxa"/>
              <w:right w:w="108" w:type="dxa"/>
            </w:tcMar>
          </w:tcPr>
          <w:p w14:paraId="1960268C" w14:textId="77777777" w:rsidR="000E78C3" w:rsidRDefault="000E78C3">
            <w:pPr>
              <w:rPr>
                <w:b/>
                <w:spacing w:val="-3"/>
              </w:rPr>
            </w:pPr>
          </w:p>
        </w:tc>
        <w:tc>
          <w:tcPr>
            <w:tcW w:w="5554" w:type="dxa"/>
            <w:shd w:val="clear" w:color="auto" w:fill="auto"/>
            <w:tcMar>
              <w:top w:w="0" w:type="dxa"/>
              <w:left w:w="108" w:type="dxa"/>
              <w:bottom w:w="0" w:type="dxa"/>
              <w:right w:w="108" w:type="dxa"/>
            </w:tcMar>
          </w:tcPr>
          <w:p w14:paraId="18B38C39" w14:textId="78852772" w:rsidR="000E78C3" w:rsidRDefault="00FD5D78">
            <w:pPr>
              <w:jc w:val="center"/>
              <w:rPr>
                <w:b/>
                <w:spacing w:val="-3"/>
              </w:rPr>
            </w:pPr>
            <w:r>
              <w:rPr>
                <w:b/>
                <w:spacing w:val="-3"/>
              </w:rPr>
              <w:t xml:space="preserve">    </w:t>
            </w:r>
            <w:r w:rsidR="00166C1A">
              <w:rPr>
                <w:b/>
                <w:spacing w:val="-3"/>
              </w:rPr>
              <w:t>- and -</w:t>
            </w:r>
          </w:p>
        </w:tc>
        <w:tc>
          <w:tcPr>
            <w:tcW w:w="2158" w:type="dxa"/>
            <w:shd w:val="clear" w:color="auto" w:fill="auto"/>
            <w:tcMar>
              <w:top w:w="0" w:type="dxa"/>
              <w:left w:w="108" w:type="dxa"/>
              <w:bottom w:w="0" w:type="dxa"/>
              <w:right w:w="108" w:type="dxa"/>
            </w:tcMar>
          </w:tcPr>
          <w:p w14:paraId="3B17257F"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E78C3" w14:paraId="7BAFA5AF" w14:textId="77777777" w:rsidTr="0076607F">
        <w:trPr>
          <w:trHeight w:val="290"/>
        </w:trPr>
        <w:tc>
          <w:tcPr>
            <w:tcW w:w="1863" w:type="dxa"/>
            <w:shd w:val="clear" w:color="auto" w:fill="auto"/>
            <w:tcMar>
              <w:top w:w="0" w:type="dxa"/>
              <w:left w:w="108" w:type="dxa"/>
              <w:bottom w:w="0" w:type="dxa"/>
              <w:right w:w="108" w:type="dxa"/>
            </w:tcMar>
          </w:tcPr>
          <w:p w14:paraId="48E64444" w14:textId="77777777" w:rsidR="000E78C3" w:rsidRDefault="000E78C3">
            <w:pPr>
              <w:rPr>
                <w:b/>
                <w:spacing w:val="-3"/>
              </w:rPr>
            </w:pPr>
          </w:p>
        </w:tc>
        <w:tc>
          <w:tcPr>
            <w:tcW w:w="5554" w:type="dxa"/>
            <w:shd w:val="clear" w:color="auto" w:fill="auto"/>
            <w:tcMar>
              <w:top w:w="0" w:type="dxa"/>
              <w:left w:w="108" w:type="dxa"/>
              <w:bottom w:w="0" w:type="dxa"/>
              <w:right w:w="108" w:type="dxa"/>
            </w:tcMar>
          </w:tcPr>
          <w:p w14:paraId="44D5C523" w14:textId="77777777" w:rsidR="000E78C3" w:rsidRDefault="000E78C3">
            <w:pPr>
              <w:rPr>
                <w:b/>
                <w:spacing w:val="-3"/>
              </w:rPr>
            </w:pPr>
          </w:p>
        </w:tc>
        <w:tc>
          <w:tcPr>
            <w:tcW w:w="2158" w:type="dxa"/>
            <w:shd w:val="clear" w:color="auto" w:fill="auto"/>
            <w:tcMar>
              <w:top w:w="0" w:type="dxa"/>
              <w:left w:w="108" w:type="dxa"/>
              <w:bottom w:w="0" w:type="dxa"/>
              <w:right w:w="108" w:type="dxa"/>
            </w:tcMar>
          </w:tcPr>
          <w:p w14:paraId="57F8B7CA"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r w:rsidR="000E78C3" w14:paraId="61C54794" w14:textId="77777777" w:rsidTr="0076607F">
        <w:trPr>
          <w:trHeight w:val="598"/>
        </w:trPr>
        <w:tc>
          <w:tcPr>
            <w:tcW w:w="1863" w:type="dxa"/>
            <w:shd w:val="clear" w:color="auto" w:fill="auto"/>
            <w:tcMar>
              <w:top w:w="0" w:type="dxa"/>
              <w:left w:w="108" w:type="dxa"/>
              <w:bottom w:w="0" w:type="dxa"/>
              <w:right w:w="108" w:type="dxa"/>
            </w:tcMar>
          </w:tcPr>
          <w:p w14:paraId="1C741A98" w14:textId="77777777" w:rsidR="000E78C3" w:rsidRDefault="000E78C3">
            <w:pPr>
              <w:rPr>
                <w:spacing w:val="-3"/>
              </w:rPr>
            </w:pPr>
          </w:p>
        </w:tc>
        <w:tc>
          <w:tcPr>
            <w:tcW w:w="5554" w:type="dxa"/>
            <w:shd w:val="clear" w:color="auto" w:fill="auto"/>
            <w:tcMar>
              <w:top w:w="0" w:type="dxa"/>
              <w:left w:w="108" w:type="dxa"/>
              <w:bottom w:w="0" w:type="dxa"/>
              <w:right w:w="108" w:type="dxa"/>
            </w:tcMar>
          </w:tcPr>
          <w:p w14:paraId="2D2D01FA" w14:textId="6D467AB9" w:rsidR="000E78C3" w:rsidRDefault="00F047FF" w:rsidP="00311867">
            <w:pPr>
              <w:jc w:val="center"/>
              <w:rPr>
                <w:b/>
                <w:spacing w:val="-3"/>
              </w:rPr>
            </w:pPr>
            <w:r>
              <w:rPr>
                <w:b/>
                <w:spacing w:val="-3"/>
              </w:rPr>
              <w:t>CONCORDIA INTERNATIONAL RX (UK) LIMITED</w:t>
            </w:r>
          </w:p>
        </w:tc>
        <w:tc>
          <w:tcPr>
            <w:tcW w:w="2158" w:type="dxa"/>
            <w:shd w:val="clear" w:color="auto" w:fill="auto"/>
            <w:tcMar>
              <w:top w:w="0" w:type="dxa"/>
              <w:left w:w="108" w:type="dxa"/>
              <w:bottom w:w="0" w:type="dxa"/>
              <w:right w:w="108" w:type="dxa"/>
            </w:tcMar>
          </w:tcPr>
          <w:p w14:paraId="532611E5" w14:textId="77777777" w:rsidR="000E78C3" w:rsidRDefault="000E78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p>
          <w:p w14:paraId="32B1959C" w14:textId="3BB6E3E5" w:rsidR="00A95C7E" w:rsidRPr="00A95C7E" w:rsidRDefault="00A95C7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b w:val="0"/>
              </w:rPr>
            </w:pPr>
            <w:r w:rsidRPr="00A95C7E">
              <w:rPr>
                <w:b w:val="0"/>
              </w:rPr>
              <w:t>Defendant</w:t>
            </w:r>
          </w:p>
        </w:tc>
      </w:tr>
    </w:tbl>
    <w:p w14:paraId="5DCBCBDB" w14:textId="77777777" w:rsidR="000E78C3" w:rsidRDefault="000E78C3">
      <w:pPr>
        <w:rPr>
          <w:b/>
          <w:spacing w:val="-3"/>
        </w:rPr>
      </w:pPr>
    </w:p>
    <w:p w14:paraId="6E588897" w14:textId="77777777" w:rsidR="000E78C3" w:rsidRDefault="00166C1A">
      <w:pPr>
        <w:jc w:val="center"/>
        <w:rPr>
          <w:spacing w:val="-3"/>
        </w:rPr>
      </w:pPr>
      <w:r>
        <w:rPr>
          <w:spacing w:val="-3"/>
        </w:rPr>
        <w:t>- - - - - - - - - - - - - - - - - - - - -</w:t>
      </w:r>
    </w:p>
    <w:p w14:paraId="786F10AC" w14:textId="77777777" w:rsidR="00C5753B" w:rsidRDefault="00C5753B">
      <w:pPr>
        <w:jc w:val="center"/>
        <w:rPr>
          <w:spacing w:val="-3"/>
        </w:rPr>
      </w:pPr>
    </w:p>
    <w:p w14:paraId="38C016F9" w14:textId="77777777" w:rsidR="000E78C3" w:rsidRDefault="00166C1A">
      <w:pPr>
        <w:jc w:val="center"/>
        <w:rPr>
          <w:spacing w:val="-3"/>
        </w:rPr>
      </w:pPr>
      <w:r>
        <w:rPr>
          <w:spacing w:val="-3"/>
        </w:rPr>
        <w:t>- - - - - - - - - - - - - - - - - - - - -</w:t>
      </w:r>
    </w:p>
    <w:p w14:paraId="3C3E212E" w14:textId="77777777" w:rsidR="000E78C3" w:rsidRDefault="000E78C3">
      <w:pPr>
        <w:jc w:val="center"/>
        <w:rPr>
          <w:spacing w:val="-3"/>
        </w:rPr>
      </w:pPr>
    </w:p>
    <w:p w14:paraId="368BA991" w14:textId="436D2266" w:rsidR="000E78C3" w:rsidRDefault="00166C1A">
      <w:pPr>
        <w:jc w:val="center"/>
      </w:pPr>
      <w:r>
        <w:rPr>
          <w:b/>
          <w:spacing w:val="-3"/>
        </w:rPr>
        <w:t xml:space="preserve">Mr </w:t>
      </w:r>
      <w:r w:rsidR="007010D4">
        <w:rPr>
          <w:b/>
          <w:spacing w:val="-3"/>
        </w:rPr>
        <w:t>Jason Beer</w:t>
      </w:r>
      <w:r>
        <w:rPr>
          <w:b/>
          <w:spacing w:val="-3"/>
        </w:rPr>
        <w:t>, QC</w:t>
      </w:r>
      <w:r>
        <w:rPr>
          <w:spacing w:val="-3"/>
        </w:rPr>
        <w:t>,</w:t>
      </w:r>
      <w:r>
        <w:rPr>
          <w:b/>
          <w:spacing w:val="-3"/>
        </w:rPr>
        <w:t xml:space="preserve"> Mr </w:t>
      </w:r>
      <w:r w:rsidR="007010D4">
        <w:rPr>
          <w:b/>
          <w:spacing w:val="-3"/>
        </w:rPr>
        <w:t>Rob Williams</w:t>
      </w:r>
      <w:r>
        <w:rPr>
          <w:b/>
          <w:spacing w:val="-3"/>
        </w:rPr>
        <w:t xml:space="preserve"> </w:t>
      </w:r>
      <w:r>
        <w:rPr>
          <w:spacing w:val="-3"/>
        </w:rPr>
        <w:t>and</w:t>
      </w:r>
      <w:r>
        <w:rPr>
          <w:bCs/>
          <w:spacing w:val="-3"/>
        </w:rPr>
        <w:t xml:space="preserve"> </w:t>
      </w:r>
      <w:r>
        <w:rPr>
          <w:b/>
          <w:bCs/>
          <w:spacing w:val="-3"/>
        </w:rPr>
        <w:t>M</w:t>
      </w:r>
      <w:r w:rsidR="007010D4">
        <w:rPr>
          <w:b/>
          <w:bCs/>
          <w:spacing w:val="-3"/>
        </w:rPr>
        <w:t>s</w:t>
      </w:r>
      <w:r>
        <w:rPr>
          <w:b/>
          <w:bCs/>
          <w:spacing w:val="-3"/>
        </w:rPr>
        <w:t xml:space="preserve"> </w:t>
      </w:r>
      <w:r w:rsidR="00786B40">
        <w:rPr>
          <w:b/>
          <w:bCs/>
          <w:spacing w:val="-3"/>
        </w:rPr>
        <w:t>Charlotte Ventham</w:t>
      </w:r>
      <w:r>
        <w:rPr>
          <w:b/>
          <w:bCs/>
          <w:spacing w:val="-3"/>
        </w:rPr>
        <w:t xml:space="preserve"> </w:t>
      </w:r>
      <w:r>
        <w:rPr>
          <w:bCs/>
          <w:spacing w:val="-3"/>
        </w:rPr>
        <w:t>(instructed by</w:t>
      </w:r>
      <w:r>
        <w:rPr>
          <w:b/>
          <w:spacing w:val="-3"/>
        </w:rPr>
        <w:t xml:space="preserve"> </w:t>
      </w:r>
      <w:r w:rsidR="007A3E6A">
        <w:rPr>
          <w:b/>
          <w:spacing w:val="-3"/>
        </w:rPr>
        <w:t>The Competition and Markets Authority</w:t>
      </w:r>
      <w:r>
        <w:rPr>
          <w:bCs/>
          <w:spacing w:val="-3"/>
        </w:rPr>
        <w:t>) for the</w:t>
      </w:r>
      <w:r>
        <w:rPr>
          <w:spacing w:val="-3"/>
        </w:rPr>
        <w:t xml:space="preserve"> </w:t>
      </w:r>
      <w:r>
        <w:rPr>
          <w:b/>
          <w:bCs/>
          <w:spacing w:val="-3"/>
        </w:rPr>
        <w:t>Claimant</w:t>
      </w:r>
    </w:p>
    <w:p w14:paraId="26F500EF" w14:textId="41704D1D" w:rsidR="000E78C3" w:rsidRDefault="00166C1A">
      <w:pPr>
        <w:jc w:val="center"/>
      </w:pPr>
      <w:r>
        <w:rPr>
          <w:b/>
          <w:bCs/>
          <w:spacing w:val="-3"/>
        </w:rPr>
        <w:t xml:space="preserve">Mr </w:t>
      </w:r>
      <w:r w:rsidR="007A3E6A">
        <w:rPr>
          <w:b/>
          <w:bCs/>
          <w:spacing w:val="-3"/>
        </w:rPr>
        <w:t>Mark Brealey</w:t>
      </w:r>
      <w:r>
        <w:rPr>
          <w:b/>
          <w:bCs/>
          <w:spacing w:val="-3"/>
        </w:rPr>
        <w:t xml:space="preserve">, QC </w:t>
      </w:r>
      <w:r>
        <w:rPr>
          <w:bCs/>
          <w:spacing w:val="-3"/>
        </w:rPr>
        <w:t>(instructed by</w:t>
      </w:r>
      <w:r>
        <w:rPr>
          <w:b/>
          <w:bCs/>
          <w:spacing w:val="-3"/>
        </w:rPr>
        <w:t xml:space="preserve"> </w:t>
      </w:r>
      <w:r w:rsidR="000814C6">
        <w:rPr>
          <w:b/>
          <w:bCs/>
          <w:spacing w:val="-3"/>
        </w:rPr>
        <w:t>Morgan, Lewis and Bockius UK LLP</w:t>
      </w:r>
      <w:r>
        <w:rPr>
          <w:bCs/>
          <w:spacing w:val="-3"/>
        </w:rPr>
        <w:t>)</w:t>
      </w:r>
      <w:r>
        <w:rPr>
          <w:b/>
          <w:bCs/>
          <w:spacing w:val="-3"/>
        </w:rPr>
        <w:t xml:space="preserve"> </w:t>
      </w:r>
      <w:r>
        <w:rPr>
          <w:bCs/>
          <w:spacing w:val="-3"/>
        </w:rPr>
        <w:t xml:space="preserve">for the </w:t>
      </w:r>
      <w:r>
        <w:rPr>
          <w:b/>
          <w:bCs/>
          <w:spacing w:val="-3"/>
        </w:rPr>
        <w:t>Defendant</w:t>
      </w:r>
      <w:r>
        <w:rPr>
          <w:bCs/>
          <w:spacing w:val="-3"/>
        </w:rPr>
        <w:t xml:space="preserve"> </w:t>
      </w:r>
    </w:p>
    <w:p w14:paraId="2031A1D3" w14:textId="77777777" w:rsidR="000E78C3" w:rsidRDefault="000E78C3">
      <w:pPr>
        <w:jc w:val="center"/>
        <w:rPr>
          <w:spacing w:val="-3"/>
        </w:rPr>
      </w:pPr>
    </w:p>
    <w:p w14:paraId="1A343F41" w14:textId="2E538E19" w:rsidR="000E78C3" w:rsidRDefault="00166C1A">
      <w:pPr>
        <w:jc w:val="center"/>
        <w:rPr>
          <w:spacing w:val="-3"/>
        </w:rPr>
      </w:pPr>
      <w:r>
        <w:rPr>
          <w:spacing w:val="-3"/>
        </w:rPr>
        <w:t>Hearing date:</w:t>
      </w:r>
      <w:r>
        <w:rPr>
          <w:b/>
          <w:spacing w:val="-3"/>
        </w:rPr>
        <w:t xml:space="preserve"> </w:t>
      </w:r>
      <w:r w:rsidR="00313CCD">
        <w:rPr>
          <w:spacing w:val="-3"/>
        </w:rPr>
        <w:t>19</w:t>
      </w:r>
      <w:r w:rsidR="00A95C7E">
        <w:rPr>
          <w:spacing w:val="-3"/>
        </w:rPr>
        <w:t xml:space="preserve"> December 2018</w:t>
      </w:r>
    </w:p>
    <w:p w14:paraId="05BFDBC8" w14:textId="2C5F3045" w:rsidR="00996F8B" w:rsidRDefault="00996F8B">
      <w:pPr>
        <w:jc w:val="center"/>
        <w:rPr>
          <w:spacing w:val="-3"/>
        </w:rPr>
      </w:pPr>
    </w:p>
    <w:p w14:paraId="616B68FE" w14:textId="77777777" w:rsidR="000E78C3" w:rsidRDefault="00166C1A">
      <w:pPr>
        <w:jc w:val="center"/>
        <w:rPr>
          <w:spacing w:val="-3"/>
        </w:rPr>
      </w:pPr>
      <w:r>
        <w:rPr>
          <w:spacing w:val="-3"/>
        </w:rPr>
        <w:t>- - - - - - - - - - - - - - - - - - - - -</w:t>
      </w:r>
    </w:p>
    <w:p w14:paraId="70A7C3F1" w14:textId="1F23C276" w:rsidR="000E78C3" w:rsidRDefault="00C11C01">
      <w:pPr>
        <w:pStyle w:val="CoverDesc"/>
      </w:pPr>
      <w:r>
        <w:t xml:space="preserve">Approved </w:t>
      </w:r>
      <w:r w:rsidR="00166C1A">
        <w:t>J</w:t>
      </w:r>
      <w:r>
        <w:t>udgment</w:t>
      </w:r>
    </w:p>
    <w:p w14:paraId="59019AC8" w14:textId="60155675" w:rsidR="00996F8B" w:rsidRDefault="00C11C01">
      <w:pPr>
        <w:pStyle w:val="CoverDesc"/>
      </w:pPr>
      <w:r>
        <w:t>(Open)</w:t>
      </w:r>
    </w:p>
    <w:p w14:paraId="73A88BD3" w14:textId="50E480DA" w:rsidR="00C11C01" w:rsidRDefault="00C11C01" w:rsidP="001B1A13">
      <w:pPr>
        <w:jc w:val="both"/>
      </w:pPr>
      <w:r>
        <w:t>I direct that pursuant to CPR PD 39A para 6.1 no official shorthand note shall be taken of this Judgment and that copies of this version as handed down may be treated as authentic.</w:t>
      </w:r>
    </w:p>
    <w:p w14:paraId="3F4AC063" w14:textId="206A51E1" w:rsidR="000E78C3" w:rsidRDefault="00166C1A" w:rsidP="00291C53">
      <w:pPr>
        <w:keepNext/>
        <w:spacing w:after="240"/>
        <w:rPr>
          <w:b/>
        </w:rPr>
      </w:pPr>
      <w:r>
        <w:rPr>
          <w:b/>
        </w:rPr>
        <w:lastRenderedPageBreak/>
        <w:t>Mr Justice Marcus Smith:</w:t>
      </w:r>
    </w:p>
    <w:p w14:paraId="31C37D24" w14:textId="77777777" w:rsidR="000E78C3" w:rsidRDefault="000E78C3" w:rsidP="00291C53">
      <w:pPr>
        <w:keepNext/>
        <w:spacing w:after="240"/>
      </w:pPr>
    </w:p>
    <w:p w14:paraId="33A4AC7D" w14:textId="1F06BF8C" w:rsidR="000E78C3" w:rsidRDefault="00D31E08" w:rsidP="00291C53">
      <w:pPr>
        <w:keepNext/>
        <w:tabs>
          <w:tab w:val="left" w:pos="567"/>
        </w:tabs>
        <w:autoSpaceDE w:val="0"/>
        <w:spacing w:before="240" w:after="240"/>
        <w:jc w:val="both"/>
        <w:rPr>
          <w:b/>
          <w:lang w:val="en-US"/>
        </w:rPr>
      </w:pPr>
      <w:r>
        <w:rPr>
          <w:b/>
          <w:lang w:val="en-US"/>
        </w:rPr>
        <w:t>A.</w:t>
      </w:r>
      <w:r>
        <w:rPr>
          <w:b/>
          <w:lang w:val="en-US"/>
        </w:rPr>
        <w:tab/>
      </w:r>
      <w:r w:rsidR="006D129E">
        <w:rPr>
          <w:b/>
          <w:lang w:val="en-US"/>
        </w:rPr>
        <w:t>INTRODUCTION</w:t>
      </w:r>
    </w:p>
    <w:p w14:paraId="7CC496DF" w14:textId="51CA1CB1" w:rsidR="00863F7B" w:rsidRDefault="00EC7448" w:rsidP="00BA13AA">
      <w:pPr>
        <w:numPr>
          <w:ilvl w:val="0"/>
          <w:numId w:val="2"/>
        </w:numPr>
        <w:autoSpaceDE w:val="0"/>
        <w:spacing w:before="240" w:after="240"/>
        <w:jc w:val="both"/>
      </w:pPr>
      <w:bookmarkStart w:id="2" w:name="_Hlk509249848"/>
      <w:r>
        <w:t xml:space="preserve">On </w:t>
      </w:r>
      <w:r w:rsidR="00931EE9">
        <w:t>5 October 2017, the Competition and Markets Authority (“CMA”</w:t>
      </w:r>
      <w:r w:rsidR="000E74CF">
        <w:t>)</w:t>
      </w:r>
      <w:r w:rsidR="00E814CA">
        <w:t xml:space="preserve"> applied to Mann J for warrant</w:t>
      </w:r>
      <w:r w:rsidR="009C1350">
        <w:t>s</w:t>
      </w:r>
      <w:r w:rsidR="00E814CA">
        <w:t xml:space="preserve"> under section 28 of the Competition Act 1998</w:t>
      </w:r>
      <w:r w:rsidR="002A0E11">
        <w:t xml:space="preserve"> against, amongst others, the Defendant, Concordia International </w:t>
      </w:r>
      <w:r w:rsidR="001B6798">
        <w:t>Rx (UK) Limited (“Concordia”).</w:t>
      </w:r>
      <w:r w:rsidR="00C32271">
        <w:t xml:space="preserve"> The application was made by the CMA without notice and in private</w:t>
      </w:r>
      <w:r w:rsidR="00ED49A8">
        <w:t xml:space="preserve">: this is the default procedure laid down in a practice direction (the </w:t>
      </w:r>
      <w:r w:rsidR="00767FC8">
        <w:t>“Practice Direction”)</w:t>
      </w:r>
      <w:r w:rsidR="00EE496E">
        <w:t xml:space="preserve"> that in part governs the making of such applications.</w:t>
      </w:r>
    </w:p>
    <w:p w14:paraId="51BB8698" w14:textId="75BD0FAF" w:rsidR="009C1350" w:rsidRDefault="00134776" w:rsidP="00BA13AA">
      <w:pPr>
        <w:numPr>
          <w:ilvl w:val="0"/>
          <w:numId w:val="2"/>
        </w:numPr>
        <w:autoSpaceDE w:val="0"/>
        <w:spacing w:before="240" w:after="240"/>
        <w:jc w:val="both"/>
      </w:pPr>
      <w:r>
        <w:t>The application was supported by certain confidential material</w:t>
      </w:r>
      <w:r w:rsidR="008A6FEB">
        <w:t xml:space="preserve">. This is </w:t>
      </w:r>
      <w:r w:rsidR="00F97618">
        <w:t xml:space="preserve">entirely usual in such applications. After hearing submissions from the CMA, and considering the evidence, </w:t>
      </w:r>
      <w:r w:rsidR="00095EDF">
        <w:t>Mann J granted various section 28 warrants, including a warrant against Concordia (the “Warrant”).</w:t>
      </w:r>
    </w:p>
    <w:p w14:paraId="0685B886" w14:textId="0EEC4FE2" w:rsidR="00B84674" w:rsidRDefault="00B84674" w:rsidP="00BA13AA">
      <w:pPr>
        <w:numPr>
          <w:ilvl w:val="0"/>
          <w:numId w:val="2"/>
        </w:numPr>
        <w:autoSpaceDE w:val="0"/>
        <w:spacing w:before="240" w:after="240"/>
        <w:jc w:val="both"/>
      </w:pPr>
      <w:r>
        <w:t xml:space="preserve">The Warrant applied to documents relating to an investigation into suspected </w:t>
      </w:r>
      <w:r w:rsidR="00814A9D">
        <w:t>anti-competitive behaviours in relation to a number of pharmaceutical drugs</w:t>
      </w:r>
      <w:r w:rsidR="006A4D9D">
        <w:t xml:space="preserve"> (described in the Warrant as “relevant products”). The relevant products</w:t>
      </w:r>
      <w:r w:rsidR="00FD7C43">
        <w:t xml:space="preserve"> – set out in Annex A </w:t>
      </w:r>
      <w:r w:rsidR="002101CD">
        <w:t>to the Warrant – included:</w:t>
      </w:r>
    </w:p>
    <w:p w14:paraId="1AC14255" w14:textId="22A3F7F9" w:rsidR="002101CD" w:rsidRDefault="002101CD" w:rsidP="002101CD">
      <w:pPr>
        <w:numPr>
          <w:ilvl w:val="1"/>
          <w:numId w:val="2"/>
        </w:numPr>
        <w:autoSpaceDE w:val="0"/>
        <w:spacing w:before="240" w:after="240"/>
        <w:jc w:val="both"/>
      </w:pPr>
      <w:r>
        <w:t xml:space="preserve">Carbimazole </w:t>
      </w:r>
      <w:r w:rsidR="00314CFF">
        <w:t>5mg and 20mg tablets (“Carbimazole”); and</w:t>
      </w:r>
    </w:p>
    <w:p w14:paraId="076CDBEF" w14:textId="1CF8E446" w:rsidR="00314CFF" w:rsidRDefault="00F44B61" w:rsidP="002101CD">
      <w:pPr>
        <w:numPr>
          <w:ilvl w:val="1"/>
          <w:numId w:val="2"/>
        </w:numPr>
        <w:autoSpaceDE w:val="0"/>
        <w:spacing w:before="240" w:after="240"/>
        <w:jc w:val="both"/>
      </w:pPr>
      <w:r>
        <w:t>Hydrocortisone 10mg tablets (“Hydrocortisone”).</w:t>
      </w:r>
    </w:p>
    <w:p w14:paraId="135A1432" w14:textId="7AD4B485" w:rsidR="009B6EDB" w:rsidRDefault="009B6EDB" w:rsidP="009B6EDB">
      <w:pPr>
        <w:numPr>
          <w:ilvl w:val="0"/>
          <w:numId w:val="2"/>
        </w:numPr>
        <w:autoSpaceDE w:val="0"/>
        <w:spacing w:before="240" w:after="240"/>
        <w:jc w:val="both"/>
      </w:pPr>
      <w:r>
        <w:t xml:space="preserve">By an application notice dated 10 October 2017, Concordia applied to have the Warrant discharged </w:t>
      </w:r>
      <w:r w:rsidR="00435FFD">
        <w:t xml:space="preserve">to the extent that it applied to Carbimazole and Hydrocortisone. Concordia does not seek </w:t>
      </w:r>
      <w:r w:rsidR="00485A60">
        <w:t>to have the Warrant discharged in relation to any other relevant products.</w:t>
      </w:r>
    </w:p>
    <w:p w14:paraId="4D1E5584" w14:textId="0AB60CC8" w:rsidR="00485A60" w:rsidRDefault="00EB2F34" w:rsidP="009B6EDB">
      <w:pPr>
        <w:numPr>
          <w:ilvl w:val="0"/>
          <w:numId w:val="2"/>
        </w:numPr>
        <w:autoSpaceDE w:val="0"/>
        <w:spacing w:before="240" w:after="240"/>
        <w:jc w:val="both"/>
      </w:pPr>
      <w:r>
        <w:t xml:space="preserve">This Judgment determines that application. It does so pursuant to a process described </w:t>
      </w:r>
      <w:r w:rsidR="00316F31">
        <w:t>in my judgment of 12 December 2018</w:t>
      </w:r>
      <w:r w:rsidR="00121187">
        <w:t xml:space="preserve"> ([2018] EWHC 3448 (Ch)), whereby I have taken into account </w:t>
      </w:r>
      <w:r w:rsidR="00CD57EC">
        <w:t xml:space="preserve">in a “closed material procedure” certain material, protected by </w:t>
      </w:r>
      <w:r w:rsidR="00C24790">
        <w:t>public interest immunity</w:t>
      </w:r>
      <w:r w:rsidR="00941B6A">
        <w:t xml:space="preserve"> (“PII” and “PII Material”)</w:t>
      </w:r>
      <w:r w:rsidR="00C24790">
        <w:t>, that was before Mann J</w:t>
      </w:r>
      <w:r w:rsidR="0059280E">
        <w:t xml:space="preserve"> on the </w:t>
      </w:r>
      <w:r w:rsidR="0059280E">
        <w:rPr>
          <w:i/>
        </w:rPr>
        <w:t xml:space="preserve">ex parte </w:t>
      </w:r>
      <w:r w:rsidR="0059280E">
        <w:t xml:space="preserve">hearing </w:t>
      </w:r>
      <w:r w:rsidR="001B4B6D">
        <w:t>in October 2017.</w:t>
      </w:r>
    </w:p>
    <w:p w14:paraId="6A85F630" w14:textId="311151E7" w:rsidR="001B4B6D" w:rsidRDefault="001B4B6D" w:rsidP="009B6EDB">
      <w:pPr>
        <w:numPr>
          <w:ilvl w:val="0"/>
          <w:numId w:val="2"/>
        </w:numPr>
        <w:autoSpaceDE w:val="0"/>
        <w:spacing w:before="240" w:after="240"/>
        <w:jc w:val="both"/>
      </w:pPr>
      <w:r>
        <w:t xml:space="preserve">Although the use of a “closed material procedure” </w:t>
      </w:r>
      <w:r w:rsidR="00FB07C5">
        <w:t xml:space="preserve">in cases such as this </w:t>
      </w:r>
      <w:r>
        <w:t xml:space="preserve">has been the subject of detailed consideration </w:t>
      </w:r>
      <w:r w:rsidR="00FB07C5">
        <w:t xml:space="preserve">both </w:t>
      </w:r>
      <w:r w:rsidR="004F4B21">
        <w:t xml:space="preserve">in </w:t>
      </w:r>
      <w:r w:rsidR="00FB07C5">
        <w:t>the</w:t>
      </w:r>
      <w:r w:rsidR="00997BAF">
        <w:t>se proceedings</w:t>
      </w:r>
      <w:r w:rsidR="004F4B21">
        <w:rPr>
          <w:rStyle w:val="FootnoteReference"/>
        </w:rPr>
        <w:footnoteReference w:id="2"/>
      </w:r>
      <w:r w:rsidR="00997BAF">
        <w:t xml:space="preserve"> and </w:t>
      </w:r>
      <w:r w:rsidR="004F4B21">
        <w:t>in</w:t>
      </w:r>
      <w:r w:rsidR="00997BAF">
        <w:t xml:space="preserve"> the</w:t>
      </w:r>
      <w:r w:rsidR="00FB07C5">
        <w:t xml:space="preserve"> Supreme Court</w:t>
      </w:r>
      <w:r w:rsidR="004F4B21">
        <w:t>,</w:t>
      </w:r>
      <w:r w:rsidR="007E61C7">
        <w:rPr>
          <w:rStyle w:val="FootnoteReference"/>
        </w:rPr>
        <w:footnoteReference w:id="3"/>
      </w:r>
      <w:r w:rsidR="00FB07C5">
        <w:t xml:space="preserve"> other aspects of </w:t>
      </w:r>
      <w:r w:rsidR="00165AF8">
        <w:t xml:space="preserve">the procedure whereby section 28 warrants are to be challenged has received </w:t>
      </w:r>
      <w:r w:rsidR="004F4B21">
        <w:t xml:space="preserve">only incidental </w:t>
      </w:r>
      <w:r w:rsidR="00165AF8">
        <w:t xml:space="preserve">consideration. </w:t>
      </w:r>
      <w:r w:rsidR="007A3F69">
        <w:t xml:space="preserve">Before considering the substance of Concordia’s application, it is necessary to </w:t>
      </w:r>
      <w:r w:rsidR="005D4090">
        <w:t>consider what that</w:t>
      </w:r>
      <w:r w:rsidR="007A3F69">
        <w:t xml:space="preserve"> procedure</w:t>
      </w:r>
      <w:r w:rsidR="005D4090">
        <w:t xml:space="preserve"> entails.</w:t>
      </w:r>
    </w:p>
    <w:p w14:paraId="62C8F059" w14:textId="3839A0EF" w:rsidR="007A3F69" w:rsidRPr="00291C53" w:rsidRDefault="00291C53" w:rsidP="00291C53">
      <w:pPr>
        <w:keepNext/>
        <w:tabs>
          <w:tab w:val="left" w:pos="567"/>
        </w:tabs>
        <w:autoSpaceDE w:val="0"/>
        <w:spacing w:before="240" w:after="240"/>
        <w:jc w:val="both"/>
        <w:rPr>
          <w:b/>
        </w:rPr>
      </w:pPr>
      <w:r>
        <w:rPr>
          <w:b/>
        </w:rPr>
        <w:t>B.</w:t>
      </w:r>
      <w:r>
        <w:rPr>
          <w:b/>
        </w:rPr>
        <w:tab/>
        <w:t>THE PROCEDURE FOR DISCHARGING OR VARYING A WARRANT</w:t>
      </w:r>
    </w:p>
    <w:p w14:paraId="12BD2F63" w14:textId="5DE79525" w:rsidR="00ED6521" w:rsidRDefault="00ED6521" w:rsidP="00BA13AA">
      <w:pPr>
        <w:numPr>
          <w:ilvl w:val="0"/>
          <w:numId w:val="2"/>
        </w:numPr>
        <w:autoSpaceDE w:val="0"/>
        <w:spacing w:before="240" w:after="240"/>
        <w:jc w:val="both"/>
      </w:pPr>
      <w:r>
        <w:t>Where a warrant is granted, the Practice Direction</w:t>
      </w:r>
      <w:r w:rsidR="003C68E2">
        <w:t xml:space="preserve"> provides for a process whereby </w:t>
      </w:r>
      <w:r w:rsidR="007F5F60">
        <w:t>the warrant may be varied or discharged:</w:t>
      </w:r>
    </w:p>
    <w:p w14:paraId="18519319" w14:textId="10B0C63C" w:rsidR="007F5F60" w:rsidRDefault="002E3E47" w:rsidP="007F5F60">
      <w:pPr>
        <w:autoSpaceDE w:val="0"/>
        <w:spacing w:before="240" w:after="240"/>
        <w:ind w:left="567"/>
        <w:jc w:val="both"/>
        <w:rPr>
          <w:sz w:val="22"/>
          <w:szCs w:val="22"/>
        </w:rPr>
      </w:pPr>
      <w:r>
        <w:rPr>
          <w:sz w:val="22"/>
          <w:szCs w:val="22"/>
        </w:rPr>
        <w:lastRenderedPageBreak/>
        <w:t>“</w:t>
      </w:r>
      <w:r>
        <w:rPr>
          <w:b/>
          <w:sz w:val="22"/>
          <w:szCs w:val="22"/>
        </w:rPr>
        <w:t>Application to vary or discharge warrant</w:t>
      </w:r>
    </w:p>
    <w:p w14:paraId="68B1A6B0" w14:textId="17DF3BE4" w:rsidR="002E3E47" w:rsidRDefault="002E3E47" w:rsidP="002E3E47">
      <w:pPr>
        <w:autoSpaceDE w:val="0"/>
        <w:spacing w:before="240" w:after="240"/>
        <w:ind w:left="1287" w:hanging="720"/>
        <w:jc w:val="both"/>
        <w:rPr>
          <w:sz w:val="22"/>
          <w:szCs w:val="22"/>
        </w:rPr>
      </w:pPr>
      <w:r>
        <w:rPr>
          <w:sz w:val="22"/>
          <w:szCs w:val="22"/>
        </w:rPr>
        <w:t>9.1</w:t>
      </w:r>
      <w:r>
        <w:rPr>
          <w:sz w:val="22"/>
          <w:szCs w:val="22"/>
        </w:rPr>
        <w:tab/>
      </w:r>
      <w:r w:rsidR="00A97922">
        <w:rPr>
          <w:sz w:val="22"/>
          <w:szCs w:val="22"/>
        </w:rPr>
        <w:t xml:space="preserve">The occupier or person in charge of premises </w:t>
      </w:r>
      <w:r w:rsidR="0038516D">
        <w:rPr>
          <w:sz w:val="22"/>
          <w:szCs w:val="22"/>
        </w:rPr>
        <w:t xml:space="preserve">in relation to which </w:t>
      </w:r>
      <w:r w:rsidR="00275D18">
        <w:rPr>
          <w:sz w:val="22"/>
          <w:szCs w:val="22"/>
        </w:rPr>
        <w:t>a warrant has been issued may apply to vary or discharge the warrant.</w:t>
      </w:r>
    </w:p>
    <w:p w14:paraId="6A094E33" w14:textId="60C6A449" w:rsidR="00275D18" w:rsidRDefault="00275D18" w:rsidP="002E3E47">
      <w:pPr>
        <w:autoSpaceDE w:val="0"/>
        <w:spacing w:before="240" w:after="240"/>
        <w:ind w:left="1287" w:hanging="720"/>
        <w:jc w:val="both"/>
        <w:rPr>
          <w:sz w:val="22"/>
          <w:szCs w:val="22"/>
        </w:rPr>
      </w:pPr>
      <w:r>
        <w:rPr>
          <w:sz w:val="22"/>
          <w:szCs w:val="22"/>
        </w:rPr>
        <w:t>9.2</w:t>
      </w:r>
      <w:r>
        <w:rPr>
          <w:sz w:val="22"/>
          <w:szCs w:val="22"/>
        </w:rPr>
        <w:tab/>
        <w:t xml:space="preserve">An application under paragraph 9.1 </w:t>
      </w:r>
      <w:r w:rsidR="005651D7">
        <w:rPr>
          <w:sz w:val="22"/>
          <w:szCs w:val="22"/>
        </w:rPr>
        <w:t>to stop a warrant from being executed must be made immediately upon the warrant being served.</w:t>
      </w:r>
    </w:p>
    <w:p w14:paraId="3F996567" w14:textId="572B67DD" w:rsidR="005651D7" w:rsidRDefault="005651D7" w:rsidP="002E3E47">
      <w:pPr>
        <w:autoSpaceDE w:val="0"/>
        <w:spacing w:before="240" w:after="240"/>
        <w:ind w:left="1287" w:hanging="720"/>
        <w:jc w:val="both"/>
        <w:rPr>
          <w:sz w:val="22"/>
          <w:szCs w:val="22"/>
        </w:rPr>
      </w:pPr>
      <w:r>
        <w:rPr>
          <w:sz w:val="22"/>
          <w:szCs w:val="22"/>
        </w:rPr>
        <w:t>9.3</w:t>
      </w:r>
      <w:r>
        <w:rPr>
          <w:sz w:val="22"/>
          <w:szCs w:val="22"/>
        </w:rPr>
        <w:tab/>
        <w:t xml:space="preserve">A person applying </w:t>
      </w:r>
      <w:r w:rsidR="00FE35DD">
        <w:rPr>
          <w:sz w:val="22"/>
          <w:szCs w:val="22"/>
        </w:rPr>
        <w:t>to vary or discharge a warrant must first inform the named officer that he is making the application</w:t>
      </w:r>
      <w:r w:rsidR="00D643F4">
        <w:rPr>
          <w:sz w:val="22"/>
          <w:szCs w:val="22"/>
        </w:rPr>
        <w:t>.</w:t>
      </w:r>
    </w:p>
    <w:p w14:paraId="373C7196" w14:textId="230B6FCC" w:rsidR="00D643F4" w:rsidRPr="002E3E47" w:rsidRDefault="00D643F4" w:rsidP="002E3E47">
      <w:pPr>
        <w:autoSpaceDE w:val="0"/>
        <w:spacing w:before="240" w:after="240"/>
        <w:ind w:left="1287" w:hanging="720"/>
        <w:jc w:val="both"/>
        <w:rPr>
          <w:sz w:val="22"/>
          <w:szCs w:val="22"/>
        </w:rPr>
      </w:pPr>
      <w:r>
        <w:rPr>
          <w:sz w:val="22"/>
          <w:szCs w:val="22"/>
        </w:rPr>
        <w:t>9.4</w:t>
      </w:r>
      <w:r>
        <w:rPr>
          <w:sz w:val="22"/>
          <w:szCs w:val="22"/>
        </w:rPr>
        <w:tab/>
      </w:r>
      <w:r w:rsidR="00B90CC5">
        <w:rPr>
          <w:sz w:val="22"/>
          <w:szCs w:val="22"/>
        </w:rPr>
        <w:t>The application should be made to the judge who issued the warrant, or, if he is not available, to another High Court Judge.”</w:t>
      </w:r>
    </w:p>
    <w:p w14:paraId="4B068C11" w14:textId="0ABFEA17" w:rsidR="002602C0" w:rsidRDefault="007D0B4E" w:rsidP="00BA13AA">
      <w:pPr>
        <w:numPr>
          <w:ilvl w:val="0"/>
          <w:numId w:val="2"/>
        </w:numPr>
        <w:autoSpaceDE w:val="0"/>
        <w:spacing w:before="240" w:after="240"/>
        <w:jc w:val="both"/>
      </w:pPr>
      <w:r>
        <w:t>Neither the Competition Act 1998</w:t>
      </w:r>
      <w:r w:rsidR="008B7EDA">
        <w:t xml:space="preserve"> nor the Practice Direction </w:t>
      </w:r>
      <w:r w:rsidR="00B75662">
        <w:t xml:space="preserve">gives any guidance or lays down any procedure for the hearing of applications to vary or discharge a warrant granted </w:t>
      </w:r>
      <w:r w:rsidR="00F154C2">
        <w:t>pursuant to section 28. A</w:t>
      </w:r>
      <w:r w:rsidR="005B5706">
        <w:t xml:space="preserve">s I noted in paragraph </w:t>
      </w:r>
      <w:r w:rsidR="007E61C7">
        <w:t xml:space="preserve">6 above, </w:t>
      </w:r>
      <w:r w:rsidR="002211B9">
        <w:t>a</w:t>
      </w:r>
      <w:r w:rsidR="00F154C2">
        <w:t xml:space="preserve">lthough the “closed </w:t>
      </w:r>
      <w:r w:rsidR="00D07895">
        <w:t xml:space="preserve">material </w:t>
      </w:r>
      <w:r w:rsidR="00F154C2">
        <w:t>procedure</w:t>
      </w:r>
      <w:r w:rsidR="00D07895">
        <w:t xml:space="preserve">” has </w:t>
      </w:r>
      <w:r w:rsidR="000D5A97">
        <w:t xml:space="preserve">been considered in </w:t>
      </w:r>
      <w:r w:rsidR="00AE29F1">
        <w:t>the courts</w:t>
      </w:r>
      <w:r w:rsidR="001D08B9">
        <w:t xml:space="preserve">, other aspects of the procedure </w:t>
      </w:r>
      <w:r w:rsidR="001128BF">
        <w:t xml:space="preserve">whereby a warrant </w:t>
      </w:r>
      <w:r w:rsidR="00AE29F1">
        <w:t xml:space="preserve">may be </w:t>
      </w:r>
      <w:r w:rsidR="009E712B">
        <w:t>challenged have only been considered incidentally.</w:t>
      </w:r>
      <w:r w:rsidR="000D7925">
        <w:t xml:space="preserve"> </w:t>
      </w:r>
    </w:p>
    <w:p w14:paraId="6A49651F" w14:textId="41C2C101" w:rsidR="002602C0" w:rsidRDefault="00931366" w:rsidP="00BA13AA">
      <w:pPr>
        <w:numPr>
          <w:ilvl w:val="0"/>
          <w:numId w:val="2"/>
        </w:numPr>
        <w:autoSpaceDE w:val="0"/>
        <w:spacing w:before="240" w:after="240"/>
        <w:jc w:val="both"/>
      </w:pPr>
      <w:r>
        <w:t xml:space="preserve">Whilst the question of whether </w:t>
      </w:r>
      <w:r w:rsidR="00AA066F">
        <w:t xml:space="preserve">a “closed material procedure” could be used remained at large, the CMA’s position was that </w:t>
      </w:r>
      <w:r w:rsidR="00C97488">
        <w:t>a section 28</w:t>
      </w:r>
      <w:r w:rsidR="00AA066F">
        <w:t xml:space="preserve"> warrant granted </w:t>
      </w:r>
      <w:r w:rsidR="00C97488">
        <w:t xml:space="preserve">to the CMA remained valid until quashed. </w:t>
      </w:r>
      <w:r w:rsidR="00A2447E">
        <w:t xml:space="preserve">The CMA contended that </w:t>
      </w:r>
      <w:r w:rsidR="00D33E38">
        <w:rPr>
          <w:u w:val="single"/>
        </w:rPr>
        <w:t>if</w:t>
      </w:r>
      <w:r w:rsidR="00D33E38">
        <w:t xml:space="preserve"> there was no “closed material procedure” </w:t>
      </w:r>
      <w:r w:rsidR="00583B3E">
        <w:t>available</w:t>
      </w:r>
      <w:r w:rsidR="00615D0A">
        <w:t xml:space="preserve"> </w:t>
      </w:r>
      <w:r w:rsidR="002106D1">
        <w:t>in these cases</w:t>
      </w:r>
      <w:r w:rsidR="00583B3E">
        <w:t xml:space="preserve">, then the CMA </w:t>
      </w:r>
      <w:r w:rsidR="002106D1">
        <w:t>must</w:t>
      </w:r>
      <w:r w:rsidR="00583B3E">
        <w:t xml:space="preserve"> be presumed to have acted lawfully in executing the warrant unless and until the party the subject of the warrant </w:t>
      </w:r>
      <w:r w:rsidR="0076082A">
        <w:t xml:space="preserve">could provide reasons to the contrary. In this way, the granting of the warrant could be reviewed – albeit </w:t>
      </w:r>
      <w:r w:rsidR="00FC5B81">
        <w:t xml:space="preserve">in a limited way – without disclosing </w:t>
      </w:r>
      <w:r w:rsidR="00E73865">
        <w:t xml:space="preserve">the PII Material that was deployed on the </w:t>
      </w:r>
      <w:r w:rsidR="00E73865">
        <w:rPr>
          <w:i/>
        </w:rPr>
        <w:t>ex parte</w:t>
      </w:r>
      <w:r w:rsidR="00E73865">
        <w:t xml:space="preserve"> application for the warrant.</w:t>
      </w:r>
    </w:p>
    <w:p w14:paraId="67732A8A" w14:textId="45032363" w:rsidR="007D4A94" w:rsidRDefault="008B47D0" w:rsidP="00BA13AA">
      <w:pPr>
        <w:numPr>
          <w:ilvl w:val="0"/>
          <w:numId w:val="2"/>
        </w:numPr>
        <w:autoSpaceDE w:val="0"/>
        <w:spacing w:before="240" w:after="240"/>
        <w:jc w:val="both"/>
      </w:pPr>
      <w:r>
        <w:t xml:space="preserve">This approach </w:t>
      </w:r>
      <w:r w:rsidR="003F6329">
        <w:t>–</w:t>
      </w:r>
      <w:r>
        <w:t xml:space="preserve"> </w:t>
      </w:r>
      <w:r w:rsidR="003F6329">
        <w:t>deriving from a series of cases</w:t>
      </w:r>
      <w:r w:rsidR="000156FC">
        <w:t xml:space="preserve"> beginning </w:t>
      </w:r>
      <w:r w:rsidR="00C20CD5">
        <w:t xml:space="preserve">with </w:t>
      </w:r>
      <w:r w:rsidR="0042096D">
        <w:rPr>
          <w:i/>
        </w:rPr>
        <w:t>Inland Revenue Commissioners v. Rossminster Ltd</w:t>
      </w:r>
      <w:r w:rsidR="0042096D" w:rsidRPr="001E2635">
        <w:rPr>
          <w:rStyle w:val="FootnoteReference"/>
        </w:rPr>
        <w:footnoteReference w:id="4"/>
      </w:r>
      <w:r w:rsidR="0042096D">
        <w:t xml:space="preserve"> – </w:t>
      </w:r>
      <w:r w:rsidR="001E2635">
        <w:t>was considered by t</w:t>
      </w:r>
      <w:r w:rsidR="008C5FA4">
        <w:t xml:space="preserve">he Supreme Court </w:t>
      </w:r>
      <w:r w:rsidR="006242E5">
        <w:t xml:space="preserve">in </w:t>
      </w:r>
      <w:r w:rsidR="006242E5">
        <w:rPr>
          <w:i/>
        </w:rPr>
        <w:t>Haralambous</w:t>
      </w:r>
      <w:r w:rsidR="001E2635">
        <w:t xml:space="preserve"> at </w:t>
      </w:r>
      <w:r w:rsidR="00D37C3E">
        <w:t>[48]:</w:t>
      </w:r>
    </w:p>
    <w:p w14:paraId="24715E1D" w14:textId="4A37D0CE" w:rsidR="003D5817" w:rsidRPr="004C5182" w:rsidRDefault="003D5817" w:rsidP="003D5817">
      <w:pPr>
        <w:autoSpaceDE w:val="0"/>
        <w:spacing w:before="240" w:after="240"/>
        <w:ind w:left="567"/>
        <w:jc w:val="both"/>
        <w:rPr>
          <w:sz w:val="22"/>
          <w:szCs w:val="22"/>
        </w:rPr>
      </w:pPr>
      <w:r>
        <w:rPr>
          <w:sz w:val="22"/>
          <w:szCs w:val="22"/>
        </w:rPr>
        <w:t xml:space="preserve">“The approach taken in </w:t>
      </w:r>
      <w:r>
        <w:rPr>
          <w:i/>
          <w:sz w:val="22"/>
          <w:szCs w:val="22"/>
        </w:rPr>
        <w:t>Rossminster</w:t>
      </w:r>
      <w:r w:rsidR="0067060F">
        <w:rPr>
          <w:sz w:val="22"/>
          <w:szCs w:val="22"/>
        </w:rPr>
        <w:t xml:space="preserve"> was therefore (i) to treat the onus as being on the applicant for judicial review to establish </w:t>
      </w:r>
      <w:r w:rsidR="00F2057E">
        <w:rPr>
          <w:sz w:val="22"/>
          <w:szCs w:val="22"/>
        </w:rPr>
        <w:t>that the warrant should be quashed and (ii) to treat the applicant as unable to satisfy this onus</w:t>
      </w:r>
      <w:r w:rsidR="003A56BD">
        <w:rPr>
          <w:sz w:val="22"/>
          <w:szCs w:val="22"/>
        </w:rPr>
        <w:t>, in circumstances where the original decision-maker had access to material withheld</w:t>
      </w:r>
      <w:r w:rsidR="001C18C0">
        <w:rPr>
          <w:sz w:val="22"/>
          <w:szCs w:val="22"/>
        </w:rPr>
        <w:t xml:space="preserve"> on public interest grounds from the person affected seeking judicial review; (iii) this result followed </w:t>
      </w:r>
      <w:r w:rsidR="00CA613A">
        <w:rPr>
          <w:sz w:val="22"/>
          <w:szCs w:val="22"/>
        </w:rPr>
        <w:t xml:space="preserve">from the application of the maxim </w:t>
      </w:r>
      <w:r w:rsidR="00CA613A">
        <w:rPr>
          <w:i/>
          <w:sz w:val="22"/>
          <w:szCs w:val="22"/>
        </w:rPr>
        <w:t>omnia praesumuntur rite esse acta</w:t>
      </w:r>
      <w:r w:rsidR="004C5182">
        <w:rPr>
          <w:sz w:val="22"/>
          <w:szCs w:val="22"/>
        </w:rPr>
        <w:t>.”</w:t>
      </w:r>
    </w:p>
    <w:p w14:paraId="0D25A5AF" w14:textId="1CCC1A67" w:rsidR="002602C0" w:rsidRDefault="007969B2" w:rsidP="00BA13AA">
      <w:pPr>
        <w:numPr>
          <w:ilvl w:val="0"/>
          <w:numId w:val="2"/>
        </w:numPr>
        <w:autoSpaceDE w:val="0"/>
        <w:spacing w:before="240" w:after="240"/>
        <w:jc w:val="both"/>
      </w:pPr>
      <w:r>
        <w:t xml:space="preserve">The Supreme Court considered the </w:t>
      </w:r>
      <w:r>
        <w:rPr>
          <w:i/>
        </w:rPr>
        <w:t xml:space="preserve">Rossminster </w:t>
      </w:r>
      <w:r>
        <w:t xml:space="preserve">approach to be unattractive </w:t>
      </w:r>
      <w:r w:rsidR="001C2B77">
        <w:t>“</w:t>
      </w:r>
      <w:r w:rsidR="00E30037">
        <w:t xml:space="preserve">in that it is in some circumstances capable of depriving </w:t>
      </w:r>
      <w:r w:rsidR="0064694F">
        <w:t xml:space="preserve">judicial review </w:t>
      </w:r>
      <w:r w:rsidR="002C01DE">
        <w:t>of any real teeth”.</w:t>
      </w:r>
      <w:r w:rsidR="002C01DE">
        <w:rPr>
          <w:rStyle w:val="FootnoteReference"/>
        </w:rPr>
        <w:footnoteReference w:id="5"/>
      </w:r>
      <w:r w:rsidR="002C01DE">
        <w:t xml:space="preserve"> The Supreme Court considered that it was </w:t>
      </w:r>
      <w:r w:rsidR="000E7882">
        <w:t xml:space="preserve">undesirable to create a mismatch between the material before the judge considering whether a warrant should be granted </w:t>
      </w:r>
      <w:r w:rsidR="000E7882">
        <w:rPr>
          <w:i/>
        </w:rPr>
        <w:t>ex parte</w:t>
      </w:r>
      <w:r w:rsidR="000E7882">
        <w:t xml:space="preserve"> and the material before the judge </w:t>
      </w:r>
      <w:r w:rsidR="00085DAD">
        <w:t>reviewing that decision.</w:t>
      </w:r>
      <w:r w:rsidR="00085DAD">
        <w:rPr>
          <w:rStyle w:val="FootnoteReference"/>
        </w:rPr>
        <w:footnoteReference w:id="6"/>
      </w:r>
      <w:r w:rsidR="00085DAD">
        <w:t xml:space="preserve"> The Supreme Court ensured </w:t>
      </w:r>
      <w:r w:rsidR="00305D57">
        <w:t>that there was no such mismatch, even in a case involving PII Material</w:t>
      </w:r>
      <w:r w:rsidR="00FD49F1">
        <w:t xml:space="preserve">, by </w:t>
      </w:r>
      <w:r w:rsidR="006C4E3E">
        <w:t>holding that a</w:t>
      </w:r>
      <w:r w:rsidR="00D835B3">
        <w:t xml:space="preserve">ny </w:t>
      </w:r>
      <w:r w:rsidR="00D835B3">
        <w:lastRenderedPageBreak/>
        <w:t>review of the granting of a warrant</w:t>
      </w:r>
      <w:r w:rsidR="00490E86">
        <w:t xml:space="preserve">, where that warrant had </w:t>
      </w:r>
      <w:r w:rsidR="00A956E1">
        <w:t xml:space="preserve">originally been </w:t>
      </w:r>
      <w:r w:rsidR="00490E86">
        <w:t xml:space="preserve">granted </w:t>
      </w:r>
      <w:r w:rsidR="00A956E1">
        <w:t>after consideration of</w:t>
      </w:r>
      <w:r w:rsidR="00490E86">
        <w:t xml:space="preserve"> PII Material</w:t>
      </w:r>
      <w:r w:rsidR="00AB160C">
        <w:t xml:space="preserve">, “can and must accommodate a closed </w:t>
      </w:r>
      <w:r w:rsidR="006C4E3E">
        <w:t xml:space="preserve">material </w:t>
      </w:r>
      <w:r w:rsidR="00182F00">
        <w:t>procedure”</w:t>
      </w:r>
      <w:r w:rsidR="00AB160C">
        <w:t>.</w:t>
      </w:r>
      <w:r w:rsidR="0007408A">
        <w:rPr>
          <w:rStyle w:val="FootnoteReference"/>
        </w:rPr>
        <w:footnoteReference w:id="7"/>
      </w:r>
    </w:p>
    <w:p w14:paraId="3CC7B2DF" w14:textId="259065A6" w:rsidR="00A956E1" w:rsidRDefault="00B16D2B" w:rsidP="000B56C1">
      <w:pPr>
        <w:numPr>
          <w:ilvl w:val="0"/>
          <w:numId w:val="2"/>
        </w:numPr>
        <w:autoSpaceDE w:val="0"/>
        <w:spacing w:before="240" w:after="240"/>
        <w:jc w:val="both"/>
      </w:pPr>
      <w:r>
        <w:t xml:space="preserve">I considered </w:t>
      </w:r>
      <w:r w:rsidR="00DA3E85">
        <w:t>–</w:t>
      </w:r>
      <w:r>
        <w:t xml:space="preserve"> </w:t>
      </w:r>
      <w:r w:rsidR="00DA3E85">
        <w:t>albeit for a different purpose</w:t>
      </w:r>
      <w:r w:rsidR="008B5124">
        <w:rPr>
          <w:rStyle w:val="FootnoteReference"/>
        </w:rPr>
        <w:footnoteReference w:id="8"/>
      </w:r>
      <w:r w:rsidR="00DA3E85">
        <w:t xml:space="preserve"> – the nature of the application to vary or discharge a section 28 warrant </w:t>
      </w:r>
      <w:r w:rsidR="00761DEF">
        <w:t>in my earlier judgment in these proceedings. There, I drew an analogy with the return date for</w:t>
      </w:r>
      <w:r w:rsidR="00CE253D">
        <w:t xml:space="preserve"> injunctions obtained </w:t>
      </w:r>
      <w:r w:rsidR="00CE253D">
        <w:rPr>
          <w:i/>
        </w:rPr>
        <w:t>ex parte</w:t>
      </w:r>
      <w:r w:rsidR="00CE253D">
        <w:t>.</w:t>
      </w:r>
      <w:r w:rsidR="00CE253D">
        <w:rPr>
          <w:rStyle w:val="FootnoteReference"/>
        </w:rPr>
        <w:footnoteReference w:id="9"/>
      </w:r>
      <w:r w:rsidR="004C6F58">
        <w:t xml:space="preserve"> </w:t>
      </w:r>
      <w:r w:rsidR="00CE253D">
        <w:t xml:space="preserve">In its written submissions to me, Concordia contended that the analysis contained in my earlier judgment was correct. </w:t>
      </w:r>
      <w:r w:rsidR="006D3418">
        <w:t>In its written submissions, t</w:t>
      </w:r>
      <w:r w:rsidR="00B129A9">
        <w:t xml:space="preserve">he CMA </w:t>
      </w:r>
      <w:r w:rsidR="007658DD">
        <w:t xml:space="preserve">drew a limited </w:t>
      </w:r>
      <w:r w:rsidR="00B129A9">
        <w:t xml:space="preserve">analogy </w:t>
      </w:r>
      <w:r w:rsidR="007658DD">
        <w:t xml:space="preserve">to the </w:t>
      </w:r>
      <w:r w:rsidR="00B129A9">
        <w:t xml:space="preserve">the </w:t>
      </w:r>
      <w:r w:rsidR="00332B06">
        <w:t>process whereby an order permitting service out of the jurisdiction is challenged.</w:t>
      </w:r>
      <w:r w:rsidR="00332B06">
        <w:rPr>
          <w:rStyle w:val="FootnoteReference"/>
        </w:rPr>
        <w:footnoteReference w:id="10"/>
      </w:r>
      <w:r w:rsidR="00332B06">
        <w:t xml:space="preserve"> </w:t>
      </w:r>
      <w:r w:rsidR="00C66398">
        <w:t xml:space="preserve">In light of the </w:t>
      </w:r>
      <w:r w:rsidR="00E6462D">
        <w:t xml:space="preserve">decisions of the Court of Appeal and the Supreme Court, it seems to me that the </w:t>
      </w:r>
      <w:r w:rsidR="00305D29">
        <w:t>process whereby an order permitting service out of the jurisdiction is challenged</w:t>
      </w:r>
      <w:r w:rsidR="000B56C1">
        <w:t xml:space="preserve"> </w:t>
      </w:r>
      <w:r w:rsidR="00252B04">
        <w:t xml:space="preserve">constitutes a good starting point for </w:t>
      </w:r>
      <w:r w:rsidR="006D3418">
        <w:t>an analysis of the present jurisdiction</w:t>
      </w:r>
      <w:r w:rsidR="00D534F7">
        <w:t xml:space="preserve"> more generally</w:t>
      </w:r>
      <w:r w:rsidR="00531406">
        <w:t>.</w:t>
      </w:r>
      <w:r w:rsidR="00D534F7">
        <w:t xml:space="preserve"> </w:t>
      </w:r>
      <w:r w:rsidR="00531406">
        <w:t>T</w:t>
      </w:r>
      <w:r w:rsidR="00D534F7">
        <w:t>hat is the starting point that I propose to adopt</w:t>
      </w:r>
      <w:r w:rsidR="007E57AA">
        <w:t>. B</w:t>
      </w:r>
      <w:r w:rsidR="006D3418">
        <w:t>ut</w:t>
      </w:r>
      <w:r w:rsidR="00D534F7">
        <w:t>, I stress,</w:t>
      </w:r>
      <w:r w:rsidR="006D3418">
        <w:t xml:space="preserve"> </w:t>
      </w:r>
      <w:r w:rsidR="007E57AA">
        <w:t xml:space="preserve">it is </w:t>
      </w:r>
      <w:r w:rsidR="006D3418">
        <w:t>only that</w:t>
      </w:r>
      <w:r w:rsidR="007E57AA">
        <w:t xml:space="preserve"> – a starting point</w:t>
      </w:r>
      <w:r w:rsidR="002664A2">
        <w:t>, which must be adjusted in light of the specific process before me</w:t>
      </w:r>
      <w:r w:rsidR="007E57AA">
        <w:t>.</w:t>
      </w:r>
      <w:r w:rsidR="006E1D7D">
        <w:t xml:space="preserve"> </w:t>
      </w:r>
    </w:p>
    <w:p w14:paraId="78798BE4" w14:textId="71BB76EA" w:rsidR="00AB46AD" w:rsidRDefault="00E63A05" w:rsidP="00AB46AD">
      <w:pPr>
        <w:numPr>
          <w:ilvl w:val="0"/>
          <w:numId w:val="2"/>
        </w:numPr>
        <w:autoSpaceDE w:val="0"/>
        <w:spacing w:before="240" w:after="240"/>
        <w:jc w:val="both"/>
      </w:pPr>
      <w:r>
        <w:t xml:space="preserve">The </w:t>
      </w:r>
      <w:r w:rsidR="00404781">
        <w:t xml:space="preserve">process whereby an order permitting service out of the jurisdiction </w:t>
      </w:r>
      <w:r w:rsidR="002664A2">
        <w:t>can be</w:t>
      </w:r>
      <w:r w:rsidR="00404781">
        <w:t xml:space="preserve"> challenged was considered in</w:t>
      </w:r>
      <w:r w:rsidR="00393C14">
        <w:t xml:space="preserve"> </w:t>
      </w:r>
      <w:r w:rsidR="00393C14">
        <w:rPr>
          <w:i/>
        </w:rPr>
        <w:t xml:space="preserve">Microsoft Mobile </w:t>
      </w:r>
      <w:r w:rsidR="00B073C0">
        <w:rPr>
          <w:i/>
        </w:rPr>
        <w:t>Oy Ltd v. Sony Europe Limited</w:t>
      </w:r>
      <w:r w:rsidR="00B073C0">
        <w:t>:</w:t>
      </w:r>
      <w:r w:rsidR="00B073C0">
        <w:rPr>
          <w:rStyle w:val="FootnoteReference"/>
        </w:rPr>
        <w:footnoteReference w:id="11"/>
      </w:r>
    </w:p>
    <w:p w14:paraId="1720C706" w14:textId="77777777" w:rsidR="00D4783A" w:rsidRDefault="00AB46AD" w:rsidP="00D4783A">
      <w:pPr>
        <w:autoSpaceDE w:val="0"/>
        <w:spacing w:before="240" w:after="240"/>
        <w:ind w:left="1287" w:hanging="720"/>
        <w:jc w:val="both"/>
      </w:pPr>
      <w:r w:rsidRPr="00AB46AD">
        <w:rPr>
          <w:sz w:val="22"/>
          <w:szCs w:val="22"/>
        </w:rPr>
        <w:t xml:space="preserve">91.  </w:t>
      </w:r>
      <w:r>
        <w:rPr>
          <w:sz w:val="22"/>
          <w:szCs w:val="22"/>
        </w:rPr>
        <w:tab/>
      </w:r>
      <w:r w:rsidRPr="00AB46AD">
        <w:rPr>
          <w:sz w:val="22"/>
          <w:szCs w:val="22"/>
        </w:rPr>
        <w:t xml:space="preserve">If a party served pursuant to such an order is minded to challenge it, this will be done on the </w:t>
      </w:r>
      <w:r w:rsidRPr="00AB46AD">
        <w:rPr>
          <w:rStyle w:val="Emphasis"/>
          <w:sz w:val="22"/>
          <w:szCs w:val="22"/>
        </w:rPr>
        <w:t>inter partes</w:t>
      </w:r>
      <w:r w:rsidRPr="00AB46AD">
        <w:rPr>
          <w:sz w:val="22"/>
          <w:szCs w:val="22"/>
        </w:rPr>
        <w:t xml:space="preserve"> return date of the applicant</w:t>
      </w:r>
      <w:r w:rsidR="00D4783A">
        <w:rPr>
          <w:sz w:val="22"/>
          <w:szCs w:val="22"/>
        </w:rPr>
        <w:t>’</w:t>
      </w:r>
      <w:r w:rsidRPr="00AB46AD">
        <w:rPr>
          <w:sz w:val="22"/>
          <w:szCs w:val="22"/>
        </w:rPr>
        <w:t xml:space="preserve">s original </w:t>
      </w:r>
      <w:r w:rsidRPr="00AB46AD">
        <w:rPr>
          <w:rStyle w:val="Emphasis"/>
          <w:sz w:val="22"/>
          <w:szCs w:val="22"/>
        </w:rPr>
        <w:t>ex parte</w:t>
      </w:r>
      <w:r w:rsidRPr="00AB46AD">
        <w:rPr>
          <w:sz w:val="22"/>
          <w:szCs w:val="22"/>
        </w:rPr>
        <w:t xml:space="preserve"> application for permission to serve out of the jurisdiction. At this point, the court will reconsider, and decide </w:t>
      </w:r>
      <w:r w:rsidRPr="00AB46AD">
        <w:rPr>
          <w:rStyle w:val="Emphasis"/>
          <w:sz w:val="22"/>
          <w:szCs w:val="22"/>
        </w:rPr>
        <w:t>de novo</w:t>
      </w:r>
      <w:r w:rsidRPr="00AB46AD">
        <w:rPr>
          <w:sz w:val="22"/>
          <w:szCs w:val="22"/>
        </w:rPr>
        <w:t>, by way of rehearing, whether permission to serve out should be given.</w:t>
      </w:r>
      <w:r w:rsidR="00D4783A">
        <w:rPr>
          <w:sz w:val="22"/>
          <w:szCs w:val="22"/>
        </w:rPr>
        <w:t xml:space="preserve"> </w:t>
      </w:r>
      <w:r w:rsidRPr="00AB46AD">
        <w:rPr>
          <w:sz w:val="22"/>
          <w:szCs w:val="22"/>
        </w:rPr>
        <w:t xml:space="preserve">It is for the party seeking to serve out – Microsoft Mobile – to demonstrate that this is a proper case for service out. The position is clearly explained in Briggs, </w:t>
      </w:r>
      <w:r w:rsidRPr="00D4783A">
        <w:rPr>
          <w:rStyle w:val="counderline"/>
          <w:i/>
          <w:sz w:val="22"/>
          <w:szCs w:val="22"/>
        </w:rPr>
        <w:t>Civil Jurisdiction and Judgments</w:t>
      </w:r>
      <w:r w:rsidRPr="00AB46AD">
        <w:rPr>
          <w:sz w:val="22"/>
          <w:szCs w:val="22"/>
        </w:rPr>
        <w:t>, 6th ed. (2015) (hereafter “</w:t>
      </w:r>
      <w:r w:rsidRPr="00AB46AD">
        <w:rPr>
          <w:rStyle w:val="counderline"/>
          <w:sz w:val="22"/>
          <w:szCs w:val="22"/>
        </w:rPr>
        <w:t>Briggs</w:t>
      </w:r>
      <w:r w:rsidRPr="00AB46AD">
        <w:rPr>
          <w:sz w:val="22"/>
          <w:szCs w:val="22"/>
        </w:rPr>
        <w:t>”) at p.460:</w:t>
      </w:r>
    </w:p>
    <w:p w14:paraId="2519E26C" w14:textId="5ECE2D87" w:rsidR="00ED4389" w:rsidRDefault="00AB46AD" w:rsidP="00ED4389">
      <w:pPr>
        <w:autoSpaceDE w:val="0"/>
        <w:spacing w:before="240" w:after="240"/>
        <w:ind w:left="1440"/>
        <w:jc w:val="both"/>
      </w:pPr>
      <w:r w:rsidRPr="00D4783A">
        <w:rPr>
          <w:sz w:val="22"/>
          <w:szCs w:val="22"/>
        </w:rPr>
        <w:t>“The application is made without the opponent</w:t>
      </w:r>
      <w:r w:rsidR="00AE717E">
        <w:rPr>
          <w:sz w:val="22"/>
          <w:szCs w:val="22"/>
        </w:rPr>
        <w:t>’</w:t>
      </w:r>
      <w:r w:rsidRPr="00D4783A">
        <w:rPr>
          <w:sz w:val="22"/>
          <w:szCs w:val="22"/>
        </w:rPr>
        <w:t xml:space="preserve">s being notified that it is being made; the court will almost always grant permission unless there is a very obvious flaw in the application. If permission is granted, as in practice it almost always is, and service is effected in accordance with it, the defendant may dispute the jurisdiction by challenging the order which granted permission, and the service which was made pursuant to it, by applying under </w:t>
      </w:r>
      <w:hyperlink r:id="rId9" w:history="1">
        <w:r w:rsidRPr="00AE717E">
          <w:rPr>
            <w:rStyle w:val="Hyperlink"/>
            <w:color w:val="auto"/>
            <w:sz w:val="22"/>
            <w:szCs w:val="22"/>
            <w:u w:val="none"/>
          </w:rPr>
          <w:t>CPR Part 11</w:t>
        </w:r>
      </w:hyperlink>
      <w:r w:rsidRPr="00D4783A">
        <w:rPr>
          <w:sz w:val="22"/>
          <w:szCs w:val="22"/>
        </w:rPr>
        <w:t xml:space="preserve">. The </w:t>
      </w:r>
      <w:r w:rsidRPr="00D4783A">
        <w:rPr>
          <w:rStyle w:val="Emphasis"/>
          <w:sz w:val="22"/>
          <w:szCs w:val="22"/>
        </w:rPr>
        <w:t>inter partes</w:t>
      </w:r>
      <w:r w:rsidRPr="00D4783A">
        <w:rPr>
          <w:sz w:val="22"/>
          <w:szCs w:val="22"/>
        </w:rPr>
        <w:t xml:space="preserve"> procedure which then follows marks the point in the process at which the court will investigate whether permission to serve should have been granted. </w:t>
      </w:r>
      <w:r w:rsidRPr="00D4783A">
        <w:rPr>
          <w:rStyle w:val="Strong"/>
          <w:sz w:val="22"/>
          <w:szCs w:val="22"/>
        </w:rPr>
        <w:t>The fact that permission was granted to the claimant in the first place is largely irrelevant at this point: it leaves no footprint; no onus is placed upon the defendant who applies to have the permission set aside; the application is in effect a rehearing of an application for permission, with the onus lying on the party who needed the permission in the first place.</w:t>
      </w:r>
      <w:r w:rsidRPr="00D4783A">
        <w:rPr>
          <w:sz w:val="22"/>
          <w:szCs w:val="22"/>
        </w:rPr>
        <w:t xml:space="preserve"> The court is not inhibited from discharging or varying the order, and for which the claimant now in substance (if not in form) reapplies, by reason of the fact that it has already been made.” </w:t>
      </w:r>
    </w:p>
    <w:p w14:paraId="1AE37BB2" w14:textId="77777777" w:rsidR="004D44A0" w:rsidRDefault="00AB46AD" w:rsidP="004D44A0">
      <w:pPr>
        <w:autoSpaceDE w:val="0"/>
        <w:spacing w:before="240" w:after="240"/>
        <w:ind w:left="1287" w:hanging="720"/>
        <w:jc w:val="both"/>
      </w:pPr>
      <w:r w:rsidRPr="00ED4389">
        <w:rPr>
          <w:sz w:val="22"/>
          <w:szCs w:val="22"/>
        </w:rPr>
        <w:t xml:space="preserve">92.  </w:t>
      </w:r>
      <w:r w:rsidR="004D44A0">
        <w:rPr>
          <w:sz w:val="22"/>
          <w:szCs w:val="22"/>
        </w:rPr>
        <w:tab/>
      </w:r>
      <w:r w:rsidRPr="00ED4389">
        <w:rPr>
          <w:sz w:val="22"/>
          <w:szCs w:val="22"/>
        </w:rPr>
        <w:t xml:space="preserve">However, the question on the re-hearing is whether it was proper to grant permission </w:t>
      </w:r>
      <w:r w:rsidRPr="00ED4389">
        <w:rPr>
          <w:rStyle w:val="counderline"/>
          <w:sz w:val="22"/>
          <w:szCs w:val="22"/>
        </w:rPr>
        <w:t>on the date upon which the order to serve out was granted</w:t>
      </w:r>
      <w:r w:rsidRPr="00ED4389">
        <w:rPr>
          <w:sz w:val="22"/>
          <w:szCs w:val="22"/>
        </w:rPr>
        <w:t xml:space="preserve">, not (in the light of changed circumstances or fresh evidence) whether it would be right to grant it as at the time of </w:t>
      </w:r>
      <w:r w:rsidRPr="00ED4389">
        <w:rPr>
          <w:sz w:val="22"/>
          <w:szCs w:val="22"/>
        </w:rPr>
        <w:lastRenderedPageBreak/>
        <w:t xml:space="preserve">the </w:t>
      </w:r>
      <w:r w:rsidRPr="00ED4389">
        <w:rPr>
          <w:rStyle w:val="Emphasis"/>
          <w:sz w:val="22"/>
          <w:szCs w:val="22"/>
        </w:rPr>
        <w:t>inter partes</w:t>
      </w:r>
      <w:r w:rsidRPr="00ED4389">
        <w:rPr>
          <w:sz w:val="22"/>
          <w:szCs w:val="22"/>
        </w:rPr>
        <w:t xml:space="preserve"> application. In </w:t>
      </w:r>
      <w:hyperlink r:id="rId10" w:history="1">
        <w:r w:rsidRPr="004D44A0">
          <w:rPr>
            <w:rStyle w:val="Hyperlink"/>
            <w:i/>
            <w:iCs/>
            <w:color w:val="auto"/>
            <w:sz w:val="22"/>
            <w:szCs w:val="22"/>
            <w:u w:val="none"/>
          </w:rPr>
          <w:t>ISC Technologies Ltd v. Guerin [1992] 2 Lloyd's Rep. 430</w:t>
        </w:r>
      </w:hyperlink>
      <w:r w:rsidRPr="00ED4389">
        <w:rPr>
          <w:sz w:val="22"/>
          <w:szCs w:val="22"/>
        </w:rPr>
        <w:t xml:space="preserve"> at 434, Hoffmann J. stated:</w:t>
      </w:r>
    </w:p>
    <w:p w14:paraId="4593DEE7" w14:textId="77777777" w:rsidR="004D44A0" w:rsidRDefault="00AB46AD" w:rsidP="007B5B7D">
      <w:pPr>
        <w:autoSpaceDE w:val="0"/>
        <w:spacing w:before="240" w:after="240"/>
        <w:ind w:left="1440"/>
        <w:jc w:val="both"/>
      </w:pPr>
      <w:r w:rsidRPr="004D44A0">
        <w:rPr>
          <w:sz w:val="22"/>
          <w:szCs w:val="22"/>
        </w:rPr>
        <w:t xml:space="preserve">“Mr. Crystal said I should look at the position today. An application under R.S.C. O.12, </w:t>
      </w:r>
      <w:hyperlink r:id="rId11" w:history="1">
        <w:r w:rsidRPr="004D44A0">
          <w:rPr>
            <w:rStyle w:val="Hyperlink"/>
            <w:color w:val="auto"/>
            <w:sz w:val="22"/>
            <w:szCs w:val="22"/>
          </w:rPr>
          <w:t>r.8</w:t>
        </w:r>
      </w:hyperlink>
      <w:r w:rsidRPr="004D44A0">
        <w:rPr>
          <w:sz w:val="22"/>
          <w:szCs w:val="22"/>
        </w:rPr>
        <w:t xml:space="preserve"> is a rehearing of the application to the Master and the exercise of a fresh discretion. It should therefore take into account whatever has since happened. I do not agree. The application is under R.S.C. O.12, </w:t>
      </w:r>
      <w:hyperlink r:id="rId12" w:history="1">
        <w:r w:rsidRPr="004D44A0">
          <w:rPr>
            <w:rStyle w:val="Hyperlink"/>
            <w:color w:val="auto"/>
            <w:sz w:val="22"/>
            <w:szCs w:val="22"/>
          </w:rPr>
          <w:t>r.8(1)(c)</w:t>
        </w:r>
      </w:hyperlink>
      <w:r w:rsidRPr="004D44A0">
        <w:rPr>
          <w:sz w:val="22"/>
          <w:szCs w:val="22"/>
        </w:rPr>
        <w:t xml:space="preserve"> to discharge the Master's order giving leave to serve out. </w:t>
      </w:r>
      <w:r w:rsidRPr="004D44A0">
        <w:rPr>
          <w:rStyle w:val="Strong"/>
          <w:sz w:val="22"/>
          <w:szCs w:val="22"/>
        </w:rPr>
        <w:t>The question is therefore whether that order was rightly made at the time it was made. Of course, the court can receive evidence which was not before the Master and subsequent events may throw light upon what should have been relevant considerations at the time. But I do not think that leave which was rightly given should be discharged simply because circumstances have changed. That would mean that different answers could be given depending upon how long it took before the application came on to be heard.</w:t>
      </w:r>
      <w:r w:rsidRPr="004D44A0">
        <w:rPr>
          <w:sz w:val="22"/>
          <w:szCs w:val="22"/>
        </w:rPr>
        <w:t xml:space="preserve"> The position is quite different when the application is for a stay on grounds of forum non conveniens. In such a case, the appropriate time to consider the matter is the date of the hearing.” </w:t>
      </w:r>
    </w:p>
    <w:p w14:paraId="61925328" w14:textId="44B3EB3F" w:rsidR="00AB46AD" w:rsidRPr="004D44A0" w:rsidRDefault="00AB46AD" w:rsidP="004D44A0">
      <w:pPr>
        <w:autoSpaceDE w:val="0"/>
        <w:spacing w:before="240" w:after="240"/>
        <w:ind w:left="1287" w:hanging="720"/>
        <w:jc w:val="both"/>
      </w:pPr>
      <w:r w:rsidRPr="004D44A0">
        <w:rPr>
          <w:sz w:val="22"/>
          <w:szCs w:val="22"/>
        </w:rPr>
        <w:t xml:space="preserve">93.  </w:t>
      </w:r>
      <w:r w:rsidR="004D44A0">
        <w:rPr>
          <w:sz w:val="22"/>
          <w:szCs w:val="22"/>
        </w:rPr>
        <w:tab/>
      </w:r>
      <w:r w:rsidRPr="004D44A0">
        <w:rPr>
          <w:sz w:val="22"/>
          <w:szCs w:val="22"/>
        </w:rPr>
        <w:t xml:space="preserve">As Evans L.J. noted in </w:t>
      </w:r>
      <w:r w:rsidRPr="007B5B7D">
        <w:rPr>
          <w:i/>
          <w:sz w:val="22"/>
          <w:szCs w:val="22"/>
        </w:rPr>
        <w:t>Mohammed v. Bank of Kuwait and the Middle East KSC</w:t>
      </w:r>
      <w:r w:rsidRPr="004D44A0">
        <w:rPr>
          <w:sz w:val="22"/>
          <w:szCs w:val="22"/>
        </w:rPr>
        <w:t xml:space="preserve"> [1994] 1 WLR 1483 at 1492, “[t]he question for the court is whether the evidence in support of the application justifies the order which is applied for being made. The evidence may be produced then or subsequently, but it must be directed at the situation at the date when the application is made.”</w:t>
      </w:r>
      <w:r w:rsidR="006D184D">
        <w:rPr>
          <w:sz w:val="22"/>
          <w:szCs w:val="22"/>
        </w:rPr>
        <w:t>”</w:t>
      </w:r>
    </w:p>
    <w:p w14:paraId="427D7901" w14:textId="2F4F2EFA" w:rsidR="00370B26" w:rsidRPr="008E163D" w:rsidRDefault="00B47B3F" w:rsidP="008E163D">
      <w:pPr>
        <w:numPr>
          <w:ilvl w:val="0"/>
          <w:numId w:val="2"/>
        </w:numPr>
        <w:autoSpaceDE w:val="0"/>
        <w:spacing w:before="240" w:after="240"/>
        <w:jc w:val="both"/>
      </w:pPr>
      <w:r>
        <w:t>I recognise that analogies, even apt one</w:t>
      </w:r>
      <w:r w:rsidR="009B54AE">
        <w:t xml:space="preserve">s, cannot be pressed too far. The section 28 procedure for obtaining a warrant </w:t>
      </w:r>
      <w:r w:rsidR="00BD72AE">
        <w:t xml:space="preserve">is far more rigorous than Professor Briggs suggests </w:t>
      </w:r>
      <w:r w:rsidR="00C4310C">
        <w:t>the service out process to be</w:t>
      </w:r>
      <w:r w:rsidR="00D32AE5">
        <w:t>.</w:t>
      </w:r>
      <w:r w:rsidR="005F53EC">
        <w:t xml:space="preserve"> </w:t>
      </w:r>
      <w:r w:rsidR="00D32AE5">
        <w:t xml:space="preserve">Furthermore, the challenge to a section 28 warrant is, according to the </w:t>
      </w:r>
      <w:r w:rsidR="00FF5523">
        <w:t>e</w:t>
      </w:r>
      <w:r w:rsidR="00FF5523" w:rsidRPr="008E163D">
        <w:t xml:space="preserve">xpress terms of the </w:t>
      </w:r>
      <w:r w:rsidR="00D32AE5" w:rsidRPr="008E163D">
        <w:t>Practice Direction</w:t>
      </w:r>
      <w:r w:rsidR="006C1085" w:rsidRPr="008E163D">
        <w:t>,</w:t>
      </w:r>
      <w:r w:rsidR="008E163D" w:rsidRPr="008E163D">
        <w:t xml:space="preserve"> an application “</w:t>
      </w:r>
      <w:r w:rsidR="00370B26" w:rsidRPr="008E163D">
        <w:t>to vary or discharge the warrant</w:t>
      </w:r>
      <w:r w:rsidR="008E163D" w:rsidRPr="008E163D">
        <w:t>”</w:t>
      </w:r>
      <w:r w:rsidR="008E163D">
        <w:t>,</w:t>
      </w:r>
      <w:r w:rsidR="006E0F22">
        <w:rPr>
          <w:rStyle w:val="FootnoteReference"/>
        </w:rPr>
        <w:footnoteReference w:id="12"/>
      </w:r>
      <w:r w:rsidR="008E163D">
        <w:t xml:space="preserve"> which clearly implies </w:t>
      </w:r>
      <w:r w:rsidR="00023538">
        <w:t xml:space="preserve">not a re-hearing of the application </w:t>
      </w:r>
      <w:r w:rsidR="00023538">
        <w:rPr>
          <w:i/>
        </w:rPr>
        <w:t>de novo</w:t>
      </w:r>
      <w:r w:rsidR="00023538">
        <w:t xml:space="preserve"> but a review of the </w:t>
      </w:r>
      <w:r w:rsidR="0064595F">
        <w:t xml:space="preserve">original, </w:t>
      </w:r>
      <w:r w:rsidR="0064595F">
        <w:rPr>
          <w:i/>
        </w:rPr>
        <w:t>ex parte</w:t>
      </w:r>
      <w:r w:rsidR="0064595F">
        <w:t>, decision.</w:t>
      </w:r>
    </w:p>
    <w:p w14:paraId="095FFD1A" w14:textId="58ECE1DA" w:rsidR="00370B26" w:rsidRDefault="00977598" w:rsidP="00FF5523">
      <w:pPr>
        <w:numPr>
          <w:ilvl w:val="0"/>
          <w:numId w:val="2"/>
        </w:numPr>
        <w:autoSpaceDE w:val="0"/>
        <w:spacing w:before="240" w:after="240"/>
        <w:jc w:val="both"/>
      </w:pPr>
      <w:r>
        <w:t xml:space="preserve">Recognising </w:t>
      </w:r>
      <w:r w:rsidR="00133338">
        <w:t>that analogies</w:t>
      </w:r>
      <w:r w:rsidR="006A2E15">
        <w:t xml:space="preserve"> are not perfect, I consider that the procedure</w:t>
      </w:r>
      <w:r w:rsidR="00E63F81">
        <w:t xml:space="preserve"> to </w:t>
      </w:r>
      <w:r w:rsidR="006D5629">
        <w:t>vary or discharge a warrant</w:t>
      </w:r>
      <w:r w:rsidR="006A2E15">
        <w:t xml:space="preserve"> contained in the Practice Direction </w:t>
      </w:r>
      <w:r w:rsidR="00391075">
        <w:t>operates in the following way:</w:t>
      </w:r>
    </w:p>
    <w:p w14:paraId="3013E470" w14:textId="20823FB0" w:rsidR="00391075" w:rsidRDefault="00A26E95" w:rsidP="00391075">
      <w:pPr>
        <w:numPr>
          <w:ilvl w:val="1"/>
          <w:numId w:val="2"/>
        </w:numPr>
        <w:autoSpaceDE w:val="0"/>
        <w:spacing w:before="240" w:after="240"/>
        <w:jc w:val="both"/>
      </w:pPr>
      <w:r>
        <w:t xml:space="preserve">The process involves </w:t>
      </w:r>
      <w:r w:rsidR="000A5434">
        <w:t xml:space="preserve">not a </w:t>
      </w:r>
      <w:r w:rsidR="000A5434">
        <w:rPr>
          <w:i/>
        </w:rPr>
        <w:t>de novo</w:t>
      </w:r>
      <w:r w:rsidR="000A5434">
        <w:t xml:space="preserve"> </w:t>
      </w:r>
      <w:r w:rsidR="002F0DD4">
        <w:t>re-</w:t>
      </w:r>
      <w:r w:rsidR="000A5434">
        <w:t xml:space="preserve">hearing of the original application, but an “on the merits” review of the decision </w:t>
      </w:r>
      <w:r w:rsidR="00FD2CFB">
        <w:t>made on th</w:t>
      </w:r>
      <w:r w:rsidR="00E83F01">
        <w:t>e</w:t>
      </w:r>
      <w:r w:rsidR="00FD2CFB">
        <w:t xml:space="preserve"> occasion</w:t>
      </w:r>
      <w:r w:rsidR="00E83F01">
        <w:t xml:space="preserve"> of the </w:t>
      </w:r>
      <w:r w:rsidR="00E83F01">
        <w:rPr>
          <w:i/>
        </w:rPr>
        <w:t xml:space="preserve">ex parte </w:t>
      </w:r>
      <w:r w:rsidR="00E83F01">
        <w:t>application</w:t>
      </w:r>
      <w:r w:rsidR="00FD2CFB">
        <w:t xml:space="preserve">. The review is </w:t>
      </w:r>
      <w:r w:rsidR="00FD2CFB">
        <w:rPr>
          <w:u w:val="single"/>
        </w:rPr>
        <w:t>not</w:t>
      </w:r>
      <w:r w:rsidR="00FD2CFB">
        <w:t xml:space="preserve"> a judicial review. Thus, </w:t>
      </w:r>
      <w:r w:rsidR="00CC4D68">
        <w:t xml:space="preserve">on an application under paragraph 9.1 of the Practice Direction, </w:t>
      </w:r>
      <w:r w:rsidR="00B004EA">
        <w:t xml:space="preserve">the question is </w:t>
      </w:r>
      <w:r w:rsidR="006F4384">
        <w:t xml:space="preserve">not </w:t>
      </w:r>
      <w:r w:rsidR="00B004EA">
        <w:t xml:space="preserve">whether </w:t>
      </w:r>
      <w:r w:rsidR="006F4384">
        <w:t xml:space="preserve">the </w:t>
      </w:r>
      <w:r w:rsidR="004F7936">
        <w:rPr>
          <w:i/>
        </w:rPr>
        <w:t xml:space="preserve">ex parte </w:t>
      </w:r>
      <w:r w:rsidR="006F4384">
        <w:t xml:space="preserve">decision </w:t>
      </w:r>
      <w:r w:rsidR="004F7936">
        <w:t xml:space="preserve">should be set aside </w:t>
      </w:r>
      <w:r w:rsidR="007067A4">
        <w:t>on judicial review grounds, but whether that decision was correct on the merits.</w:t>
      </w:r>
    </w:p>
    <w:p w14:paraId="7A74EFED" w14:textId="213F2903" w:rsidR="002E3A7D" w:rsidRDefault="0008262A" w:rsidP="00391075">
      <w:pPr>
        <w:numPr>
          <w:ilvl w:val="1"/>
          <w:numId w:val="2"/>
        </w:numPr>
        <w:autoSpaceDE w:val="0"/>
        <w:spacing w:before="240" w:after="240"/>
        <w:jc w:val="both"/>
      </w:pPr>
      <w:r>
        <w:t xml:space="preserve">Because the </w:t>
      </w:r>
      <w:r w:rsidR="006B59F7">
        <w:t xml:space="preserve">application </w:t>
      </w:r>
      <w:r w:rsidR="00273C4A">
        <w:t xml:space="preserve">to vary or discharge the warrant </w:t>
      </w:r>
      <w:r w:rsidR="006B59F7">
        <w:t xml:space="preserve">is </w:t>
      </w:r>
      <w:r w:rsidR="00273C4A">
        <w:t xml:space="preserve">made by the subject of the </w:t>
      </w:r>
      <w:r w:rsidR="00F5182B">
        <w:t xml:space="preserve">warrant (and not by the CMA) it is incumbent upon the applicant to articulate why </w:t>
      </w:r>
      <w:r w:rsidR="00680420">
        <w:t xml:space="preserve">the warrant should be varied or discharged. </w:t>
      </w:r>
      <w:r w:rsidR="00DD077D">
        <w:t>That said, given the intrusive nature of the warrant and th</w:t>
      </w:r>
      <w:r w:rsidR="001F2EFC">
        <w:t>e</w:t>
      </w:r>
      <w:r w:rsidR="00DD077D">
        <w:t xml:space="preserve"> fact that </w:t>
      </w:r>
      <w:r w:rsidR="005B2F6B">
        <w:t>the warrant</w:t>
      </w:r>
      <w:r w:rsidR="00DD077D">
        <w:t xml:space="preserve"> will likely </w:t>
      </w:r>
      <w:r w:rsidR="005B2F6B">
        <w:t xml:space="preserve">have been obtained on the basis of </w:t>
      </w:r>
      <w:r w:rsidR="00342C92">
        <w:t xml:space="preserve">at least some PII Material, the judge should be astute to consider whether the statutory </w:t>
      </w:r>
      <w:r w:rsidR="00D51846">
        <w:t>tests for the grant of the warrant have been met and the CMA</w:t>
      </w:r>
      <w:r w:rsidR="00AB0D6E">
        <w:t xml:space="preserve">, so far as such PII Material is concerned, </w:t>
      </w:r>
      <w:r w:rsidR="009C1279">
        <w:t>will owe a duty of full and frank disclosure to the court in relation to such material.</w:t>
      </w:r>
      <w:r w:rsidR="003D640A">
        <w:t xml:space="preserve"> </w:t>
      </w:r>
      <w:r w:rsidR="00204AD1">
        <w:t xml:space="preserve">Clearly, where the applicant cannot press a point because it has not seen the relevant material, </w:t>
      </w:r>
      <w:r w:rsidR="00641706">
        <w:t>justice and the “closed material process” require the CMA and the court to take up this burden.</w:t>
      </w:r>
    </w:p>
    <w:p w14:paraId="0F80B4C6" w14:textId="37BD7303" w:rsidR="00610EF5" w:rsidRDefault="0030481B" w:rsidP="00391075">
      <w:pPr>
        <w:numPr>
          <w:ilvl w:val="1"/>
          <w:numId w:val="2"/>
        </w:numPr>
        <w:autoSpaceDE w:val="0"/>
        <w:spacing w:before="240" w:after="240"/>
        <w:jc w:val="both"/>
      </w:pPr>
      <w:r>
        <w:lastRenderedPageBreak/>
        <w:t xml:space="preserve">A section 28 warrant may be granted </w:t>
      </w:r>
      <w:r w:rsidR="00A060F4">
        <w:t>in three types of case:</w:t>
      </w:r>
    </w:p>
    <w:p w14:paraId="79F206D0" w14:textId="668FB946" w:rsidR="00A060F4" w:rsidRDefault="00A060F4" w:rsidP="00A060F4">
      <w:pPr>
        <w:numPr>
          <w:ilvl w:val="2"/>
          <w:numId w:val="2"/>
        </w:numPr>
        <w:autoSpaceDE w:val="0"/>
        <w:spacing w:before="240" w:after="240"/>
        <w:jc w:val="both"/>
      </w:pPr>
      <w:r>
        <w:t>A “Sec</w:t>
      </w:r>
      <w:r w:rsidR="00232F1A">
        <w:t>tion 28(1)(a)</w:t>
      </w:r>
      <w:r w:rsidR="00C60BCB">
        <w:t xml:space="preserve"> Case”, where there are reasonable grounds for suspecting that documents required to be produced pursuant to sections 26 and/or 27 of the </w:t>
      </w:r>
      <w:r w:rsidR="00BB3A02">
        <w:t>Competition Act 1998 have not been produced.</w:t>
      </w:r>
    </w:p>
    <w:p w14:paraId="32C39EDA" w14:textId="66278B9E" w:rsidR="0079262E" w:rsidRDefault="0079262E" w:rsidP="00A060F4">
      <w:pPr>
        <w:numPr>
          <w:ilvl w:val="2"/>
          <w:numId w:val="2"/>
        </w:numPr>
        <w:autoSpaceDE w:val="0"/>
        <w:spacing w:before="240" w:after="240"/>
        <w:jc w:val="both"/>
      </w:pPr>
      <w:r>
        <w:t xml:space="preserve">A “Section 28(1)(b) Case”, </w:t>
      </w:r>
      <w:r w:rsidR="00FD67A8">
        <w:t xml:space="preserve">where </w:t>
      </w:r>
      <w:r>
        <w:t>there are reasonable grounds for suspecting that:</w:t>
      </w:r>
    </w:p>
    <w:p w14:paraId="6985DAED" w14:textId="055735BF" w:rsidR="0079262E" w:rsidRDefault="00FD67A8" w:rsidP="0079262E">
      <w:pPr>
        <w:numPr>
          <w:ilvl w:val="3"/>
          <w:numId w:val="2"/>
        </w:numPr>
        <w:autoSpaceDE w:val="0"/>
        <w:spacing w:before="240" w:after="240"/>
        <w:jc w:val="both"/>
      </w:pPr>
      <w:r>
        <w:t>T</w:t>
      </w:r>
      <w:r w:rsidR="00D367E2">
        <w:t>here are, on business premises, documents that would be responsive to a section 26 production demand;</w:t>
      </w:r>
    </w:p>
    <w:p w14:paraId="53CB064A" w14:textId="6741B6AB" w:rsidR="00D367E2" w:rsidRDefault="00D367E2" w:rsidP="0079262E">
      <w:pPr>
        <w:numPr>
          <w:ilvl w:val="3"/>
          <w:numId w:val="2"/>
        </w:numPr>
        <w:autoSpaceDE w:val="0"/>
        <w:spacing w:before="240" w:after="240"/>
        <w:jc w:val="both"/>
      </w:pPr>
      <w:r>
        <w:t>But that</w:t>
      </w:r>
      <w:r w:rsidR="00ED310C">
        <w:t>, if such a demand were made, they would not be produced, but would be concealed, removed, tampered with or destroyed.</w:t>
      </w:r>
    </w:p>
    <w:p w14:paraId="5F09B88D" w14:textId="6183FE0D" w:rsidR="00ED310C" w:rsidRDefault="00064FFF" w:rsidP="00ED310C">
      <w:pPr>
        <w:numPr>
          <w:ilvl w:val="2"/>
          <w:numId w:val="2"/>
        </w:numPr>
        <w:autoSpaceDE w:val="0"/>
        <w:spacing w:before="240" w:after="240"/>
        <w:jc w:val="both"/>
      </w:pPr>
      <w:r>
        <w:t xml:space="preserve">A “Section 28(1)(c) Case”, where there has been a thwarted attempt </w:t>
      </w:r>
      <w:r w:rsidR="004D614D">
        <w:t>to enter premises pursuant to section 27.</w:t>
      </w:r>
    </w:p>
    <w:p w14:paraId="52F28C44" w14:textId="0646586A" w:rsidR="004F00DF" w:rsidRDefault="004D614D" w:rsidP="00FF5523">
      <w:pPr>
        <w:numPr>
          <w:ilvl w:val="1"/>
          <w:numId w:val="2"/>
        </w:numPr>
        <w:autoSpaceDE w:val="0"/>
        <w:spacing w:before="240" w:after="240"/>
        <w:jc w:val="both"/>
      </w:pPr>
      <w:r>
        <w:t xml:space="preserve">In each case, the question is whether </w:t>
      </w:r>
      <w:r w:rsidR="00B13FE0">
        <w:t xml:space="preserve">the statutory tests for the making of a warrant have been met </w:t>
      </w:r>
      <w:r w:rsidR="00B13FE0">
        <w:rPr>
          <w:u w:val="single"/>
        </w:rPr>
        <w:t>as at the time of application to the judge</w:t>
      </w:r>
      <w:r w:rsidR="00B13FE0">
        <w:t xml:space="preserve">. </w:t>
      </w:r>
      <w:r w:rsidR="00E30539">
        <w:t>It follows that</w:t>
      </w:r>
      <w:r w:rsidR="003027C3">
        <w:t xml:space="preserve"> the question before the court </w:t>
      </w:r>
      <w:r w:rsidR="00223E79">
        <w:t xml:space="preserve">– just as in service out cases – is whether the order </w:t>
      </w:r>
      <w:r w:rsidR="002D583C">
        <w:t xml:space="preserve">originally made was correctly made </w:t>
      </w:r>
      <w:r w:rsidR="002D583C">
        <w:rPr>
          <w:u w:val="single"/>
        </w:rPr>
        <w:t>at the time</w:t>
      </w:r>
      <w:r w:rsidR="002D583C">
        <w:t>. In consequence, the material originally before the judge on the making of the application</w:t>
      </w:r>
      <w:r w:rsidR="00603C98">
        <w:t xml:space="preserve"> will be critical when reviewing </w:t>
      </w:r>
      <w:r w:rsidR="003F0A3D">
        <w:t xml:space="preserve">the judge’s decision. That is not to say that the applicant cannot adduce further evidence. But any new evidence must go to the correctness of the decision </w:t>
      </w:r>
      <w:r w:rsidR="00CE04DC" w:rsidRPr="002628CC">
        <w:rPr>
          <w:u w:val="single"/>
        </w:rPr>
        <w:t>originally made</w:t>
      </w:r>
      <w:r w:rsidR="00CE04DC">
        <w:t>. New evidence cannot be adduced to suggest that</w:t>
      </w:r>
      <w:r w:rsidR="006277BA">
        <w:t xml:space="preserve"> events </w:t>
      </w:r>
      <w:r w:rsidR="006277BA" w:rsidRPr="006277BA">
        <w:rPr>
          <w:u w:val="single"/>
        </w:rPr>
        <w:t>subsequent</w:t>
      </w:r>
      <w:r w:rsidR="006277BA">
        <w:t xml:space="preserve"> to the original decision show that the original decision was wrong.</w:t>
      </w:r>
      <w:r w:rsidR="00CE04DC">
        <w:t xml:space="preserve"> </w:t>
      </w:r>
    </w:p>
    <w:p w14:paraId="6E2A5E1C" w14:textId="257C233D" w:rsidR="00FF5523" w:rsidRDefault="00535FB2" w:rsidP="00885BD1">
      <w:pPr>
        <w:numPr>
          <w:ilvl w:val="0"/>
          <w:numId w:val="2"/>
        </w:numPr>
        <w:autoSpaceDE w:val="0"/>
        <w:spacing w:before="240" w:after="240"/>
        <w:jc w:val="both"/>
      </w:pPr>
      <w:r>
        <w:t xml:space="preserve">In light of </w:t>
      </w:r>
      <w:r w:rsidR="00FE287C">
        <w:t xml:space="preserve">these principles, I turn to the </w:t>
      </w:r>
      <w:r w:rsidR="00480A5F">
        <w:t>application made by Concordia.</w:t>
      </w:r>
    </w:p>
    <w:p w14:paraId="69EF2F2C" w14:textId="0B1ADCF9" w:rsidR="00AB46AD" w:rsidRPr="00480A5F" w:rsidRDefault="00480A5F" w:rsidP="008B4B1B">
      <w:pPr>
        <w:keepNext/>
        <w:tabs>
          <w:tab w:val="left" w:pos="567"/>
        </w:tabs>
        <w:autoSpaceDE w:val="0"/>
        <w:spacing w:before="240" w:after="240"/>
        <w:ind w:left="567" w:hanging="567"/>
        <w:jc w:val="both"/>
        <w:rPr>
          <w:b/>
        </w:rPr>
      </w:pPr>
      <w:r>
        <w:rPr>
          <w:b/>
        </w:rPr>
        <w:t>C.</w:t>
      </w:r>
      <w:r>
        <w:rPr>
          <w:b/>
        </w:rPr>
        <w:tab/>
        <w:t xml:space="preserve">CONCORDIA’S APPLICATION TO </w:t>
      </w:r>
      <w:r w:rsidR="00B33354">
        <w:rPr>
          <w:b/>
        </w:rPr>
        <w:t>VARY OR DISCHARGE THE WARRANT</w:t>
      </w:r>
    </w:p>
    <w:p w14:paraId="4E9D3B1F" w14:textId="2AB03A62" w:rsidR="00076EC4" w:rsidRPr="00DE10FA" w:rsidRDefault="00076EC4" w:rsidP="008B4B1B">
      <w:pPr>
        <w:keepNext/>
        <w:tabs>
          <w:tab w:val="left" w:pos="567"/>
        </w:tabs>
        <w:autoSpaceDE w:val="0"/>
        <w:spacing w:before="240" w:after="240"/>
        <w:jc w:val="both"/>
        <w:rPr>
          <w:b/>
        </w:rPr>
      </w:pPr>
      <w:r w:rsidRPr="00DE10FA">
        <w:rPr>
          <w:b/>
        </w:rPr>
        <w:t>(1)</w:t>
      </w:r>
      <w:r w:rsidRPr="00DE10FA">
        <w:rPr>
          <w:b/>
        </w:rPr>
        <w:tab/>
      </w:r>
      <w:r w:rsidR="00DE10FA" w:rsidRPr="00DE10FA">
        <w:rPr>
          <w:b/>
        </w:rPr>
        <w:t>Concordia’s application</w:t>
      </w:r>
    </w:p>
    <w:p w14:paraId="678118E1" w14:textId="45BC8962" w:rsidR="000B55A8" w:rsidRDefault="00862FBF" w:rsidP="00BA13AA">
      <w:pPr>
        <w:numPr>
          <w:ilvl w:val="0"/>
          <w:numId w:val="2"/>
        </w:numPr>
        <w:autoSpaceDE w:val="0"/>
        <w:spacing w:before="240" w:after="240"/>
        <w:jc w:val="both"/>
      </w:pPr>
      <w:r>
        <w:t xml:space="preserve">The Warrant was granted pursuant to section 28(1)(b) of the Competition Act 1998: it was a Section 28(1)(b) Case. </w:t>
      </w:r>
      <w:r w:rsidR="00F312DC">
        <w:t xml:space="preserve">Concordia’s challenge was based on the second </w:t>
      </w:r>
      <w:r w:rsidR="00A72AD5">
        <w:t>statutory requirement: it was contended that there were no reasonable grounds for suspecting that</w:t>
      </w:r>
      <w:r w:rsidR="000E269B">
        <w:t xml:space="preserve"> – if a section 26 production demand was made – documents would not be produced</w:t>
      </w:r>
      <w:r w:rsidR="00B56937">
        <w:t>, but would be concealed, removed, tampered with or destroyed.</w:t>
      </w:r>
    </w:p>
    <w:p w14:paraId="6CEF4EE3" w14:textId="3DD033C7" w:rsidR="00DE10FA" w:rsidRPr="00DE10FA" w:rsidRDefault="00DE10FA" w:rsidP="008B4B1B">
      <w:pPr>
        <w:keepNext/>
        <w:tabs>
          <w:tab w:val="left" w:pos="567"/>
        </w:tabs>
        <w:autoSpaceDE w:val="0"/>
        <w:spacing w:before="240" w:after="240"/>
        <w:jc w:val="both"/>
        <w:rPr>
          <w:b/>
        </w:rPr>
      </w:pPr>
      <w:r>
        <w:rPr>
          <w:b/>
        </w:rPr>
        <w:t>(2)</w:t>
      </w:r>
      <w:r>
        <w:rPr>
          <w:b/>
        </w:rPr>
        <w:tab/>
        <w:t>Background</w:t>
      </w:r>
    </w:p>
    <w:p w14:paraId="487C12B4" w14:textId="637EF280" w:rsidR="00B56937" w:rsidRDefault="00B01C85" w:rsidP="00BA13AA">
      <w:pPr>
        <w:numPr>
          <w:ilvl w:val="0"/>
          <w:numId w:val="2"/>
        </w:numPr>
        <w:autoSpaceDE w:val="0"/>
        <w:spacing w:before="240" w:after="240"/>
        <w:jc w:val="both"/>
      </w:pPr>
      <w:r>
        <w:t xml:space="preserve">In order to understand the basis for </w:t>
      </w:r>
      <w:r w:rsidR="00751CBE">
        <w:t>Concordia’s contention, it is necessary to set out some of the background:</w:t>
      </w:r>
    </w:p>
    <w:p w14:paraId="182A0453" w14:textId="1A2C1865" w:rsidR="00751CBE" w:rsidRDefault="007D4322" w:rsidP="00751CBE">
      <w:pPr>
        <w:numPr>
          <w:ilvl w:val="1"/>
          <w:numId w:val="2"/>
        </w:numPr>
        <w:autoSpaceDE w:val="0"/>
        <w:spacing w:before="240" w:after="240"/>
        <w:jc w:val="both"/>
      </w:pPr>
      <w:r>
        <w:t xml:space="preserve">CMA investigations into both </w:t>
      </w:r>
      <w:r w:rsidR="002A0336">
        <w:t xml:space="preserve">Carbimazole and Hydrocortisone </w:t>
      </w:r>
      <w:r w:rsidR="00D1233D">
        <w:t xml:space="preserve">had been on-going since </w:t>
      </w:r>
      <w:r w:rsidR="00545F92">
        <w:t xml:space="preserve">early 2016. The focus of the investigations </w:t>
      </w:r>
      <w:r w:rsidR="00CF7AB4">
        <w:t>was a suspicion of market-sharing in relation to the supply of these drugs.</w:t>
      </w:r>
    </w:p>
    <w:p w14:paraId="28B08986" w14:textId="3C29F49C" w:rsidR="00CF7AB4" w:rsidRDefault="00A61F3F" w:rsidP="00751CBE">
      <w:pPr>
        <w:numPr>
          <w:ilvl w:val="1"/>
          <w:numId w:val="2"/>
        </w:numPr>
        <w:autoSpaceDE w:val="0"/>
        <w:spacing w:before="240" w:after="240"/>
        <w:jc w:val="both"/>
      </w:pPr>
      <w:r>
        <w:t xml:space="preserve">During the course of these investigations, </w:t>
      </w:r>
      <w:r w:rsidR="000C1BBC">
        <w:t xml:space="preserve">various section 26 notices, requiring </w:t>
      </w:r>
      <w:r w:rsidR="004C4693">
        <w:t xml:space="preserve">(amongst other things) </w:t>
      </w:r>
      <w:r w:rsidR="000C1BBC">
        <w:t>the production of</w:t>
      </w:r>
      <w:r w:rsidR="004C4693">
        <w:t xml:space="preserve"> documents were issued by the CMA to Concordia. </w:t>
      </w:r>
      <w:r w:rsidR="004D0B50">
        <w:t>Not only do section 26 notice</w:t>
      </w:r>
      <w:r w:rsidR="007A3A17">
        <w:t>s</w:t>
      </w:r>
      <w:r w:rsidR="004D0B50">
        <w:t xml:space="preserve"> require the production of information</w:t>
      </w:r>
      <w:r w:rsidR="006B712F">
        <w:t xml:space="preserve">, </w:t>
      </w:r>
      <w:r w:rsidR="006B712F">
        <w:lastRenderedPageBreak/>
        <w:t xml:space="preserve">but (as a corollary) the subject of the notice must not (amongst other things) </w:t>
      </w:r>
      <w:r w:rsidR="00992E76">
        <w:t>dispose of, falsify or conceal a document falling within the ambit of the notice.</w:t>
      </w:r>
    </w:p>
    <w:p w14:paraId="27218AD4" w14:textId="3B0CB974" w:rsidR="00A72C81" w:rsidRDefault="00347859" w:rsidP="00751CBE">
      <w:pPr>
        <w:numPr>
          <w:ilvl w:val="1"/>
          <w:numId w:val="2"/>
        </w:numPr>
        <w:autoSpaceDE w:val="0"/>
        <w:spacing w:before="240" w:after="240"/>
        <w:jc w:val="both"/>
      </w:pPr>
      <w:r>
        <w:t xml:space="preserve">As is often the case with section 26 notices, the CMA negotiated a </w:t>
      </w:r>
      <w:r w:rsidR="00DD406C">
        <w:t xml:space="preserve">document retrieval methodology with Concordia’s solicitors, then Messrs Clifford Chance. </w:t>
      </w:r>
      <w:r w:rsidR="00A74181">
        <w:t xml:space="preserve">Pursuant to that methodology, </w:t>
      </w:r>
      <w:r w:rsidR="00E02D56">
        <w:t xml:space="preserve">specific types of document (notably emails) of 11 specific custodians </w:t>
      </w:r>
      <w:r w:rsidR="0088061F">
        <w:t>were searched</w:t>
      </w:r>
      <w:r w:rsidR="00A72C81">
        <w:t>, and a considerable volume of documentation was produced</w:t>
      </w:r>
      <w:r w:rsidR="0088061F">
        <w:t xml:space="preserve">. The precise details of the </w:t>
      </w:r>
      <w:r w:rsidR="00CF5A50">
        <w:t xml:space="preserve">retrieval methodology do not matter. What is important to note is that </w:t>
      </w:r>
      <w:r w:rsidR="00C02EF0">
        <w:t xml:space="preserve">the methodology was limited both as to </w:t>
      </w:r>
      <w:r w:rsidR="00C02EF0" w:rsidRPr="00C02EF0">
        <w:rPr>
          <w:u w:val="single"/>
        </w:rPr>
        <w:t>type of document searched</w:t>
      </w:r>
      <w:r w:rsidR="00C02EF0">
        <w:t xml:space="preserve"> and </w:t>
      </w:r>
      <w:r w:rsidR="00C7075A" w:rsidRPr="00C7075A">
        <w:rPr>
          <w:u w:val="single"/>
        </w:rPr>
        <w:t>as to the custodians whose documents were searched</w:t>
      </w:r>
      <w:r w:rsidR="00C7075A">
        <w:t>.</w:t>
      </w:r>
    </w:p>
    <w:p w14:paraId="16F4F6A9" w14:textId="526AF584" w:rsidR="00DE10FA" w:rsidRPr="00DE10FA" w:rsidRDefault="00DE10FA" w:rsidP="008B4B1B">
      <w:pPr>
        <w:keepNext/>
        <w:tabs>
          <w:tab w:val="left" w:pos="567"/>
        </w:tabs>
        <w:autoSpaceDE w:val="0"/>
        <w:spacing w:before="240" w:after="240"/>
        <w:jc w:val="both"/>
        <w:rPr>
          <w:b/>
        </w:rPr>
      </w:pPr>
      <w:r>
        <w:rPr>
          <w:b/>
        </w:rPr>
        <w:t>(3)</w:t>
      </w:r>
      <w:r>
        <w:rPr>
          <w:b/>
        </w:rPr>
        <w:tab/>
        <w:t>The relevant materials</w:t>
      </w:r>
    </w:p>
    <w:p w14:paraId="6BD041E0" w14:textId="6EAF92CD" w:rsidR="00013522" w:rsidRDefault="002F3A73" w:rsidP="002F3A73">
      <w:pPr>
        <w:numPr>
          <w:ilvl w:val="0"/>
          <w:numId w:val="2"/>
        </w:numPr>
        <w:autoSpaceDE w:val="0"/>
        <w:spacing w:before="240" w:after="240"/>
        <w:jc w:val="both"/>
      </w:pPr>
      <w:r>
        <w:t xml:space="preserve">It was in these circumstances that the CMA applied for the Warrant. </w:t>
      </w:r>
      <w:r w:rsidR="00D3669E">
        <w:t xml:space="preserve">The documents </w:t>
      </w:r>
      <w:r w:rsidR="00013522">
        <w:t>that are relevant for the purposes of this application are as follows:</w:t>
      </w:r>
    </w:p>
    <w:p w14:paraId="4A10E3F4" w14:textId="77777777" w:rsidR="00013522" w:rsidRDefault="00013522" w:rsidP="00013522">
      <w:pPr>
        <w:numPr>
          <w:ilvl w:val="1"/>
          <w:numId w:val="2"/>
        </w:numPr>
        <w:autoSpaceDE w:val="0"/>
        <w:spacing w:before="240" w:after="240"/>
        <w:jc w:val="both"/>
      </w:pPr>
      <w:r>
        <w:t>The first affidavit of Ms Ann Pope, the Senior Director for Anti-Trust Enforcement in the CMA, sworn on 29 September 2017 (“Pope 1”). Pope 1 attached one exhibit (“Pope 1 Exhibit”).</w:t>
      </w:r>
    </w:p>
    <w:p w14:paraId="0505E05C" w14:textId="77777777" w:rsidR="00013522" w:rsidRDefault="00013522" w:rsidP="00013522">
      <w:pPr>
        <w:numPr>
          <w:ilvl w:val="1"/>
          <w:numId w:val="2"/>
        </w:numPr>
        <w:autoSpaceDE w:val="0"/>
        <w:spacing w:before="240" w:after="240"/>
        <w:jc w:val="both"/>
      </w:pPr>
      <w:r>
        <w:t>The first affidavit of Mr Andrew Groves, a Director in the Competition, Consumer and Markets Group in the Enforcement Directorate of the CMA, sworn 29 September 2017 (“Groves 1”). Groves 1 attached one exhibit (“Groves 1 Exhibit”).</w:t>
      </w:r>
    </w:p>
    <w:p w14:paraId="4D7CDF4B" w14:textId="77777777" w:rsidR="00013522" w:rsidRDefault="00013522" w:rsidP="00013522">
      <w:pPr>
        <w:numPr>
          <w:ilvl w:val="1"/>
          <w:numId w:val="2"/>
        </w:numPr>
        <w:autoSpaceDE w:val="0"/>
        <w:spacing w:before="240" w:after="240"/>
        <w:jc w:val="both"/>
      </w:pPr>
      <w:r>
        <w:t>The first affidavit of Ms Susan Oxley, Project Director, Competition, Consumer and Markets Group at the CMA, sworn 29 September 2017 (“Oxley 1”). Oxley 1 attached one exhibit (“Oxley 1 Exhibit”).</w:t>
      </w:r>
    </w:p>
    <w:p w14:paraId="4A8F3116" w14:textId="484FEC73" w:rsidR="00013522" w:rsidRDefault="00013522" w:rsidP="00013522">
      <w:pPr>
        <w:numPr>
          <w:ilvl w:val="1"/>
          <w:numId w:val="2"/>
        </w:numPr>
        <w:autoSpaceDE w:val="0"/>
        <w:spacing w:before="240" w:after="240"/>
        <w:jc w:val="both"/>
      </w:pPr>
      <w:r>
        <w:t xml:space="preserve">The first affidavit of </w:t>
      </w:r>
      <w:r w:rsidR="00D22ABB">
        <w:t xml:space="preserve">Ms Claudia Berg, Senior Legal Director </w:t>
      </w:r>
      <w:r w:rsidR="00775195">
        <w:t>at the CMA</w:t>
      </w:r>
      <w:r>
        <w:t>, sworn 29 September 2017 (“</w:t>
      </w:r>
      <w:r w:rsidR="00775195">
        <w:t xml:space="preserve">Berg </w:t>
      </w:r>
      <w:r>
        <w:t xml:space="preserve">1”). </w:t>
      </w:r>
      <w:r w:rsidR="00775195">
        <w:t xml:space="preserve">Berg </w:t>
      </w:r>
      <w:r>
        <w:t>1 attached one exhibit (“</w:t>
      </w:r>
      <w:r w:rsidR="00775195">
        <w:t>Berg</w:t>
      </w:r>
      <w:r>
        <w:t xml:space="preserve"> 1 Exhibit”).</w:t>
      </w:r>
    </w:p>
    <w:p w14:paraId="725B07F5" w14:textId="77777777" w:rsidR="00013522" w:rsidRDefault="00013522" w:rsidP="00013522">
      <w:pPr>
        <w:numPr>
          <w:ilvl w:val="1"/>
          <w:numId w:val="2"/>
        </w:numPr>
        <w:autoSpaceDE w:val="0"/>
        <w:spacing w:before="240" w:after="240"/>
        <w:jc w:val="both"/>
      </w:pPr>
      <w:r>
        <w:t>The CMA’s skeleton argument in support of its application for the Warrant before Mann J (the “CMA Skeleton”).</w:t>
      </w:r>
    </w:p>
    <w:p w14:paraId="294D4295" w14:textId="77777777" w:rsidR="00013522" w:rsidRDefault="00013522" w:rsidP="00013522">
      <w:pPr>
        <w:numPr>
          <w:ilvl w:val="1"/>
          <w:numId w:val="2"/>
        </w:numPr>
        <w:autoSpaceDE w:val="0"/>
        <w:spacing w:before="240" w:after="240"/>
        <w:jc w:val="both"/>
      </w:pPr>
      <w:r>
        <w:t xml:space="preserve">A transcript of the </w:t>
      </w:r>
      <w:r>
        <w:rPr>
          <w:i/>
        </w:rPr>
        <w:t>ex parte</w:t>
      </w:r>
      <w:r>
        <w:t xml:space="preserve"> hearing before Mann J on 5 October 2017 (the “Transcript”).</w:t>
      </w:r>
    </w:p>
    <w:p w14:paraId="14001C48" w14:textId="38C8341C" w:rsidR="00013522" w:rsidRDefault="00013522" w:rsidP="00013522">
      <w:pPr>
        <w:numPr>
          <w:ilvl w:val="1"/>
          <w:numId w:val="2"/>
        </w:numPr>
        <w:autoSpaceDE w:val="0"/>
        <w:spacing w:before="240" w:after="240"/>
        <w:jc w:val="both"/>
      </w:pPr>
      <w:r>
        <w:t>The judgment of Mann J – Neutral Citation [2017] EWHC 2577 (Ch) – in which he determined the CMA’s application.</w:t>
      </w:r>
    </w:p>
    <w:p w14:paraId="75AD5300" w14:textId="3FAB747C" w:rsidR="00347859" w:rsidRDefault="00004886" w:rsidP="002F3A73">
      <w:pPr>
        <w:numPr>
          <w:ilvl w:val="0"/>
          <w:numId w:val="2"/>
        </w:numPr>
        <w:autoSpaceDE w:val="0"/>
        <w:spacing w:before="240" w:after="240"/>
        <w:jc w:val="both"/>
      </w:pPr>
      <w:r>
        <w:t xml:space="preserve">The four affidavits – Pope 1, Groves 1, </w:t>
      </w:r>
      <w:r w:rsidR="00F66A2A">
        <w:t xml:space="preserve">Oxley 1 and Berg 1 – together with their exhibits and the </w:t>
      </w:r>
      <w:r w:rsidR="00486EEF">
        <w:t xml:space="preserve">CMA Skeleton were the materials before Mann J on 5 October 2017. He heard the submissions </w:t>
      </w:r>
      <w:r w:rsidR="00A20E4A">
        <w:t xml:space="preserve">recorded in the Transcript, after which he gave an </w:t>
      </w:r>
      <w:r w:rsidR="00A20E4A">
        <w:rPr>
          <w:i/>
        </w:rPr>
        <w:t xml:space="preserve">ex tempore </w:t>
      </w:r>
      <w:r w:rsidR="00A20E4A">
        <w:t>judgment.</w:t>
      </w:r>
      <w:r w:rsidR="00793036">
        <w:t xml:space="preserve"> </w:t>
      </w:r>
    </w:p>
    <w:p w14:paraId="2FA08001" w14:textId="4644788B" w:rsidR="00793036" w:rsidRDefault="00793036" w:rsidP="002F3A73">
      <w:pPr>
        <w:numPr>
          <w:ilvl w:val="0"/>
          <w:numId w:val="2"/>
        </w:numPr>
        <w:autoSpaceDE w:val="0"/>
        <w:spacing w:before="240" w:after="240"/>
        <w:jc w:val="both"/>
      </w:pPr>
      <w:r>
        <w:t xml:space="preserve">Although all of the materials contained some </w:t>
      </w:r>
      <w:r w:rsidR="00800A16">
        <w:t>redactions on the grounds of PII</w:t>
      </w:r>
      <w:r w:rsidR="000C3B45">
        <w:t xml:space="preserve">, some of these redactions were removed as a result of my </w:t>
      </w:r>
      <w:r w:rsidR="00F7508B">
        <w:t>ruling of 12 December 2018 ([2018] EWHC 3448 (Ch)).</w:t>
      </w:r>
      <w:r w:rsidR="00063CA4">
        <w:rPr>
          <w:rStyle w:val="FootnoteReference"/>
        </w:rPr>
        <w:footnoteReference w:id="13"/>
      </w:r>
      <w:r w:rsidR="00F7508B">
        <w:t xml:space="preserve"> </w:t>
      </w:r>
      <w:r w:rsidR="00063CA4">
        <w:t xml:space="preserve">However, the bulk of the redactions related to Berg 1 and </w:t>
      </w:r>
      <w:r w:rsidR="005F57AF">
        <w:t>the Berg 1 Exhibit. These redactions I considered to be properly protected by PII</w:t>
      </w:r>
      <w:r w:rsidR="001F42FB">
        <w:t xml:space="preserve"> and could not be disclosed to Concordia in these proceedings.</w:t>
      </w:r>
      <w:r w:rsidR="001F42FB">
        <w:rPr>
          <w:rStyle w:val="FootnoteReference"/>
        </w:rPr>
        <w:footnoteReference w:id="14"/>
      </w:r>
      <w:r w:rsidR="00101B79">
        <w:t xml:space="preserve"> To the extent that th</w:t>
      </w:r>
      <w:r w:rsidR="005D72DB">
        <w:t>i</w:t>
      </w:r>
      <w:r w:rsidR="00101B79">
        <w:t xml:space="preserve">s </w:t>
      </w:r>
      <w:r w:rsidR="005D72DB">
        <w:t>evidence</w:t>
      </w:r>
      <w:r w:rsidR="00101B79">
        <w:t xml:space="preserve"> </w:t>
      </w:r>
      <w:r w:rsidR="005D72DB">
        <w:t xml:space="preserve">needed to </w:t>
      </w:r>
      <w:r w:rsidR="005D72DB">
        <w:lastRenderedPageBreak/>
        <w:t xml:space="preserve">be considered for the purposes of this application – and I say now, this evidence was very material </w:t>
      </w:r>
      <w:r w:rsidR="00A76C47">
        <w:t>to the application – it had to be considered in a “closed material process”.</w:t>
      </w:r>
      <w:r w:rsidR="005D72DB">
        <w:t xml:space="preserve"> </w:t>
      </w:r>
    </w:p>
    <w:p w14:paraId="493F4F75" w14:textId="64F1FAEB" w:rsidR="00DE10FA" w:rsidRPr="00DE10FA" w:rsidRDefault="00DE10FA" w:rsidP="008B4B1B">
      <w:pPr>
        <w:keepNext/>
        <w:tabs>
          <w:tab w:val="left" w:pos="567"/>
        </w:tabs>
        <w:autoSpaceDE w:val="0"/>
        <w:spacing w:before="240" w:after="240"/>
        <w:jc w:val="both"/>
        <w:rPr>
          <w:b/>
        </w:rPr>
      </w:pPr>
      <w:r>
        <w:rPr>
          <w:b/>
        </w:rPr>
        <w:t>(4)</w:t>
      </w:r>
      <w:r>
        <w:rPr>
          <w:b/>
        </w:rPr>
        <w:tab/>
        <w:t xml:space="preserve">The </w:t>
      </w:r>
      <w:r>
        <w:rPr>
          <w:b/>
          <w:i/>
        </w:rPr>
        <w:t xml:space="preserve">ex tempore </w:t>
      </w:r>
      <w:r>
        <w:rPr>
          <w:b/>
        </w:rPr>
        <w:t>judgment of Mann J</w:t>
      </w:r>
    </w:p>
    <w:p w14:paraId="7DCA4FEE" w14:textId="6C59B9F1" w:rsidR="00693047" w:rsidRDefault="00693047" w:rsidP="002F3A73">
      <w:pPr>
        <w:numPr>
          <w:ilvl w:val="0"/>
          <w:numId w:val="2"/>
        </w:numPr>
        <w:autoSpaceDE w:val="0"/>
        <w:spacing w:before="240" w:after="240"/>
        <w:jc w:val="both"/>
      </w:pPr>
      <w:r>
        <w:t>The relevant parts of Mann J’s judgment are as follow</w:t>
      </w:r>
      <w:r w:rsidR="00DD658D">
        <w:t xml:space="preserve"> (emphasis added)</w:t>
      </w:r>
      <w:r>
        <w:t>:</w:t>
      </w:r>
    </w:p>
    <w:p w14:paraId="45CFCE93" w14:textId="186A2158" w:rsidR="00AC0A64" w:rsidRDefault="00AC0A64" w:rsidP="00D97CA9">
      <w:pPr>
        <w:autoSpaceDE w:val="0"/>
        <w:spacing w:before="240" w:after="240"/>
        <w:ind w:left="1287" w:hanging="720"/>
        <w:jc w:val="both"/>
        <w:rPr>
          <w:sz w:val="22"/>
          <w:szCs w:val="22"/>
        </w:rPr>
      </w:pPr>
      <w:r>
        <w:rPr>
          <w:sz w:val="22"/>
          <w:szCs w:val="22"/>
        </w:rPr>
        <w:t>“</w:t>
      </w:r>
      <w:r w:rsidR="00D97CA9">
        <w:rPr>
          <w:sz w:val="22"/>
          <w:szCs w:val="22"/>
        </w:rPr>
        <w:t>3.</w:t>
      </w:r>
      <w:r w:rsidR="00D97CA9">
        <w:rPr>
          <w:sz w:val="22"/>
          <w:szCs w:val="22"/>
        </w:rPr>
        <w:tab/>
      </w:r>
      <w:r w:rsidR="00510C41">
        <w:rPr>
          <w:sz w:val="22"/>
          <w:szCs w:val="22"/>
        </w:rPr>
        <w:t>Without enumerating all, or indeed any, of the evidence which has been placed before me</w:t>
      </w:r>
      <w:r w:rsidR="009E205E">
        <w:rPr>
          <w:sz w:val="22"/>
          <w:szCs w:val="22"/>
        </w:rPr>
        <w:t xml:space="preserve">, I am satisfied that on the evidence which was placed before me, that the CMA is entitled to carry out its investigation </w:t>
      </w:r>
      <w:r w:rsidR="007B4A45">
        <w:rPr>
          <w:sz w:val="22"/>
          <w:szCs w:val="22"/>
        </w:rPr>
        <w:t>and to seek the documents that it seeks. I am satisfied that it is entitled to a warrant to enter the premises – both business and domestic</w:t>
      </w:r>
      <w:r w:rsidR="00D97CA9">
        <w:rPr>
          <w:sz w:val="22"/>
          <w:szCs w:val="22"/>
        </w:rPr>
        <w:t xml:space="preserve"> – in order to secure the documents in question</w:t>
      </w:r>
      <w:r w:rsidR="00C23877">
        <w:rPr>
          <w:sz w:val="22"/>
          <w:szCs w:val="22"/>
        </w:rPr>
        <w:t xml:space="preserve">. I am satisfied that there are reasonable grounds for suspecting that if the undertakings </w:t>
      </w:r>
      <w:r w:rsidR="0096220B">
        <w:rPr>
          <w:sz w:val="22"/>
          <w:szCs w:val="22"/>
        </w:rPr>
        <w:t xml:space="preserve">concerned were given notice of the requirement to produce documents, there would be a risk of destruction and tampering </w:t>
      </w:r>
      <w:r w:rsidR="00BD7121">
        <w:rPr>
          <w:sz w:val="22"/>
          <w:szCs w:val="22"/>
        </w:rPr>
        <w:t>within the two sections.</w:t>
      </w:r>
    </w:p>
    <w:p w14:paraId="3A8DDF52" w14:textId="61607796" w:rsidR="00BD7121" w:rsidRPr="00AC0A64" w:rsidRDefault="00BD7121" w:rsidP="00D97CA9">
      <w:pPr>
        <w:autoSpaceDE w:val="0"/>
        <w:spacing w:before="240" w:after="240"/>
        <w:ind w:left="1287" w:hanging="720"/>
        <w:jc w:val="both"/>
        <w:rPr>
          <w:sz w:val="22"/>
          <w:szCs w:val="22"/>
        </w:rPr>
      </w:pPr>
      <w:r>
        <w:rPr>
          <w:sz w:val="22"/>
          <w:szCs w:val="22"/>
        </w:rPr>
        <w:t>4.</w:t>
      </w:r>
      <w:r>
        <w:rPr>
          <w:sz w:val="22"/>
          <w:szCs w:val="22"/>
        </w:rPr>
        <w:tab/>
        <w:t xml:space="preserve">That conclusion as to the suspicion of risk to the documents arises notwithstanding </w:t>
      </w:r>
      <w:r w:rsidR="004F5BA1">
        <w:rPr>
          <w:sz w:val="22"/>
          <w:szCs w:val="22"/>
        </w:rPr>
        <w:t xml:space="preserve">two factors, which I have borne permanently in mind. </w:t>
      </w:r>
      <w:r w:rsidR="00884FE7">
        <w:rPr>
          <w:sz w:val="22"/>
          <w:szCs w:val="22"/>
        </w:rPr>
        <w:t xml:space="preserve">The first </w:t>
      </w:r>
      <w:r w:rsidR="00A946FD">
        <w:rPr>
          <w:sz w:val="22"/>
          <w:szCs w:val="22"/>
        </w:rPr>
        <w:t>is that, to an extent, at least two of the undertakings would have had notice of the interest of the CMA in their activities</w:t>
      </w:r>
      <w:r w:rsidR="00086952">
        <w:rPr>
          <w:sz w:val="22"/>
          <w:szCs w:val="22"/>
        </w:rPr>
        <w:t xml:space="preserve">, because the CMA has engaged with those undertakings via notices and objections, and the like. </w:t>
      </w:r>
      <w:r w:rsidR="000E337F" w:rsidRPr="008E12CF">
        <w:rPr>
          <w:b/>
          <w:sz w:val="22"/>
          <w:szCs w:val="22"/>
        </w:rPr>
        <w:t>However, those notices were focussed on different types of abuse from those which now primarily concern the CMA</w:t>
      </w:r>
      <w:r w:rsidR="00607046" w:rsidRPr="008E12CF">
        <w:rPr>
          <w:b/>
          <w:sz w:val="22"/>
          <w:szCs w:val="22"/>
        </w:rPr>
        <w:t xml:space="preserve"> and which are used to support the application made to me</w:t>
      </w:r>
      <w:r w:rsidR="00607046">
        <w:rPr>
          <w:sz w:val="22"/>
          <w:szCs w:val="22"/>
        </w:rPr>
        <w:t xml:space="preserve">. A canny operator in those firms may well by now </w:t>
      </w:r>
      <w:r w:rsidR="00F87E40">
        <w:rPr>
          <w:sz w:val="22"/>
          <w:szCs w:val="22"/>
        </w:rPr>
        <w:t xml:space="preserve">have realised that the CMA was interested and there is a real possibility that if they behave as nefariously </w:t>
      </w:r>
      <w:r w:rsidR="005226E1">
        <w:rPr>
          <w:sz w:val="22"/>
          <w:szCs w:val="22"/>
        </w:rPr>
        <w:t xml:space="preserve">as the CMA fears they will become a destroyer of evidence. Nonetheless, the flagging of the interest </w:t>
      </w:r>
      <w:r w:rsidR="001B7BA2">
        <w:rPr>
          <w:sz w:val="22"/>
          <w:szCs w:val="22"/>
        </w:rPr>
        <w:t xml:space="preserve">in the </w:t>
      </w:r>
      <w:r w:rsidR="001B7BA2" w:rsidRPr="008E12CF">
        <w:rPr>
          <w:b/>
          <w:sz w:val="22"/>
          <w:szCs w:val="22"/>
        </w:rPr>
        <w:t>other potential abuses</w:t>
      </w:r>
      <w:r w:rsidR="001B7BA2">
        <w:rPr>
          <w:sz w:val="22"/>
          <w:szCs w:val="22"/>
        </w:rPr>
        <w:t xml:space="preserve"> is not sufficient to require the conclusion that whilst there once might have been suspicion </w:t>
      </w:r>
      <w:r w:rsidR="00D21BB3">
        <w:rPr>
          <w:sz w:val="22"/>
          <w:szCs w:val="22"/>
        </w:rPr>
        <w:t xml:space="preserve">of risk of destruction, there no longer can be because the undertakings will have long ago </w:t>
      </w:r>
      <w:r w:rsidR="00B9446E">
        <w:rPr>
          <w:sz w:val="22"/>
          <w:szCs w:val="22"/>
        </w:rPr>
        <w:t xml:space="preserve">destroyed the incriminating material. I am satisfied there is still a proper degree of likelihood </w:t>
      </w:r>
      <w:r w:rsidR="00F27667">
        <w:rPr>
          <w:sz w:val="22"/>
          <w:szCs w:val="22"/>
        </w:rPr>
        <w:t xml:space="preserve">that the documents still exist on the business premises and elsewhere, and that there is a risk of destruction </w:t>
      </w:r>
      <w:r w:rsidR="00717827">
        <w:rPr>
          <w:sz w:val="22"/>
          <w:szCs w:val="22"/>
        </w:rPr>
        <w:t xml:space="preserve">were the CMA to give notice of its intentions and views in advance of securing the documentary material in question. </w:t>
      </w:r>
      <w:r w:rsidR="00EE7A6E">
        <w:rPr>
          <w:sz w:val="22"/>
          <w:szCs w:val="22"/>
        </w:rPr>
        <w:t>By documents, I mean, of course, both hard copy documents and documents held in digital form”.</w:t>
      </w:r>
    </w:p>
    <w:p w14:paraId="2B897B58" w14:textId="0702AF58" w:rsidR="00EE7A6E" w:rsidRDefault="007D37CA" w:rsidP="00EE7A6E">
      <w:pPr>
        <w:autoSpaceDE w:val="0"/>
        <w:spacing w:before="240" w:after="240"/>
        <w:ind w:left="567"/>
        <w:jc w:val="both"/>
      </w:pPr>
      <w:r>
        <w:t>The second factor that Mann J bore in mind – considered in paragraph 5 of his judgment – is immaterial for present purposes.</w:t>
      </w:r>
    </w:p>
    <w:p w14:paraId="619D8E5E" w14:textId="77777777" w:rsidR="001261E4" w:rsidRDefault="008B4B1B" w:rsidP="001261E4">
      <w:pPr>
        <w:keepNext/>
        <w:tabs>
          <w:tab w:val="left" w:pos="567"/>
        </w:tabs>
        <w:autoSpaceDE w:val="0"/>
        <w:spacing w:before="240" w:after="240"/>
        <w:jc w:val="both"/>
        <w:rPr>
          <w:b/>
        </w:rPr>
      </w:pPr>
      <w:r>
        <w:rPr>
          <w:b/>
        </w:rPr>
        <w:t>(5)</w:t>
      </w:r>
      <w:r>
        <w:rPr>
          <w:b/>
        </w:rPr>
        <w:tab/>
        <w:t>Concordia’s contentions</w:t>
      </w:r>
    </w:p>
    <w:p w14:paraId="49FE4ABC" w14:textId="3B7D933B" w:rsidR="00AF2C7B" w:rsidRDefault="00306971" w:rsidP="00BA13AA">
      <w:pPr>
        <w:numPr>
          <w:ilvl w:val="0"/>
          <w:numId w:val="2"/>
        </w:numPr>
        <w:autoSpaceDE w:val="0"/>
        <w:spacing w:before="240" w:after="240"/>
        <w:jc w:val="both"/>
      </w:pPr>
      <w:r>
        <w:t xml:space="preserve">Concordia contends that </w:t>
      </w:r>
      <w:r w:rsidR="008E12CF">
        <w:t xml:space="preserve">Mann J’s reference to </w:t>
      </w:r>
      <w:r w:rsidR="00DD658D">
        <w:t xml:space="preserve">“different types of </w:t>
      </w:r>
      <w:r w:rsidR="00A51F4D">
        <w:t>abuse” and “other potential abuses” betray</w:t>
      </w:r>
      <w:r w:rsidR="00845AA9">
        <w:t>ed</w:t>
      </w:r>
      <w:r w:rsidR="00A51F4D">
        <w:t xml:space="preserve"> a material misunderstanding of the situation</w:t>
      </w:r>
      <w:r w:rsidR="00A31000">
        <w:t>, such that the Warrant so far as C</w:t>
      </w:r>
      <w:r w:rsidR="008B7724">
        <w:t xml:space="preserve">arbimazole and Hydrocortisone are concerned must be discharged or varied. </w:t>
      </w:r>
      <w:r w:rsidR="009F6C52">
        <w:t>Concordia say that</w:t>
      </w:r>
      <w:r w:rsidR="00104DE7">
        <w:t xml:space="preserve">, so far as </w:t>
      </w:r>
      <w:r w:rsidR="00421D92">
        <w:t>Carbimazole and Hydrocortisone are concerned, the CMA was only ever investiga</w:t>
      </w:r>
      <w:r w:rsidR="009E7A4C">
        <w:t xml:space="preserve">ting </w:t>
      </w:r>
      <w:r w:rsidR="009E7A4C">
        <w:rPr>
          <w:u w:val="single"/>
        </w:rPr>
        <w:t>one</w:t>
      </w:r>
      <w:r w:rsidR="009E7A4C">
        <w:t xml:space="preserve"> type of abuse and that it had issued section 26 notice</w:t>
      </w:r>
      <w:r w:rsidR="00845AA9">
        <w:t>s</w:t>
      </w:r>
      <w:r w:rsidR="009E7A4C">
        <w:t xml:space="preserve"> </w:t>
      </w:r>
      <w:r w:rsidR="00B64678">
        <w:t xml:space="preserve">in furtherance of that investigation. The suggestion that different types of abuse were involved </w:t>
      </w:r>
      <w:r w:rsidR="00411ECB">
        <w:t xml:space="preserve">might have led the Judge to consider that </w:t>
      </w:r>
      <w:r w:rsidR="00FE79A0">
        <w:t xml:space="preserve">one reason for granting the Warrant under section 28 was that </w:t>
      </w:r>
      <w:r w:rsidR="00AF2C7B">
        <w:t xml:space="preserve">it was targeted at </w:t>
      </w:r>
      <w:r w:rsidR="00AF2C7B">
        <w:rPr>
          <w:u w:val="single"/>
        </w:rPr>
        <w:t>different documents</w:t>
      </w:r>
      <w:r w:rsidR="00AF2C7B">
        <w:t>.</w:t>
      </w:r>
    </w:p>
    <w:p w14:paraId="19B70CEE" w14:textId="46A731EC" w:rsidR="00AF2C7B" w:rsidRDefault="00AF2C7B" w:rsidP="00BA13AA">
      <w:pPr>
        <w:numPr>
          <w:ilvl w:val="0"/>
          <w:numId w:val="2"/>
        </w:numPr>
        <w:autoSpaceDE w:val="0"/>
        <w:spacing w:before="240" w:after="240"/>
        <w:jc w:val="both"/>
      </w:pPr>
      <w:r>
        <w:t>Since</w:t>
      </w:r>
      <w:r w:rsidR="00361D2F">
        <w:t>, before me,</w:t>
      </w:r>
      <w:r>
        <w:t xml:space="preserve"> the CMA disavowed any suggestion </w:t>
      </w:r>
      <w:r w:rsidR="0042235C">
        <w:t xml:space="preserve">that </w:t>
      </w:r>
      <w:r w:rsidR="00361D2F">
        <w:t xml:space="preserve">different types of abuse or other potential abuses </w:t>
      </w:r>
      <w:r w:rsidR="0042235C">
        <w:t>were</w:t>
      </w:r>
      <w:r w:rsidR="00371FE5">
        <w:t xml:space="preserve"> the reason for the Warrant, one can readily understand Concordia’s point. </w:t>
      </w:r>
      <w:r w:rsidR="0085418A">
        <w:t xml:space="preserve">Clearly, if the ambit of the (later) section 28 Warrant is wider than or different to the earlier section 26 </w:t>
      </w:r>
      <w:r w:rsidR="0071078E">
        <w:t>notices</w:t>
      </w:r>
      <w:r w:rsidR="0006346F">
        <w:t xml:space="preserve">, the force of </w:t>
      </w:r>
      <w:r w:rsidR="00943903">
        <w:t xml:space="preserve">the point that </w:t>
      </w:r>
      <w:r w:rsidR="000A673D">
        <w:t xml:space="preserve">Concordia </w:t>
      </w:r>
      <w:r w:rsidR="00943903">
        <w:t xml:space="preserve">was </w:t>
      </w:r>
      <w:r w:rsidR="000A673D">
        <w:t xml:space="preserve">pre-warned of the CMA’s interest </w:t>
      </w:r>
      <w:r w:rsidR="00943903">
        <w:t xml:space="preserve">diminishes. </w:t>
      </w:r>
      <w:r w:rsidR="00571792">
        <w:t xml:space="preserve">Conversely, if the ambit of the section 26 </w:t>
      </w:r>
      <w:r w:rsidR="0071078E">
        <w:lastRenderedPageBreak/>
        <w:t xml:space="preserve">notice is the </w:t>
      </w:r>
      <w:r w:rsidR="0071078E">
        <w:rPr>
          <w:u w:val="single"/>
        </w:rPr>
        <w:t>same</w:t>
      </w:r>
      <w:r w:rsidR="0071078E">
        <w:t xml:space="preserve"> as the later section 28 Warrant, then the documents falling within the scope of </w:t>
      </w:r>
      <w:r w:rsidR="00012285">
        <w:t>the notices are protected by the obligation not to dispose of or conceal these documents.</w:t>
      </w:r>
      <w:r w:rsidR="00012285">
        <w:rPr>
          <w:rStyle w:val="FootnoteReference"/>
        </w:rPr>
        <w:footnoteReference w:id="15"/>
      </w:r>
      <w:r w:rsidR="00012285">
        <w:t xml:space="preserve"> </w:t>
      </w:r>
      <w:r w:rsidR="002D0241">
        <w:t xml:space="preserve">The CMA would have to contend that </w:t>
      </w:r>
      <w:r w:rsidR="00B2237B">
        <w:t xml:space="preserve">Concordia had deliberately withheld documents </w:t>
      </w:r>
      <w:r w:rsidR="0042235C">
        <w:t>covered by the section 26</w:t>
      </w:r>
      <w:r w:rsidR="00A04723">
        <w:t xml:space="preserve"> notices, which could then only be recovered under section </w:t>
      </w:r>
      <w:r w:rsidR="003068A4">
        <w:t xml:space="preserve">28. </w:t>
      </w:r>
    </w:p>
    <w:p w14:paraId="1732F597" w14:textId="30B6CF62" w:rsidR="003068A4" w:rsidRDefault="004F131B" w:rsidP="00BA13AA">
      <w:pPr>
        <w:numPr>
          <w:ilvl w:val="0"/>
          <w:numId w:val="2"/>
        </w:numPr>
        <w:autoSpaceDE w:val="0"/>
        <w:spacing w:before="240" w:after="240"/>
        <w:jc w:val="both"/>
      </w:pPr>
      <w:r>
        <w:t xml:space="preserve">To an extent, because of the PII Material that it did not see, </w:t>
      </w:r>
      <w:r w:rsidR="005F5567">
        <w:t>Concordia was inhibited (quite understandably) in precisely how to formulate this argument.</w:t>
      </w:r>
      <w:r w:rsidR="00467A44">
        <w:t xml:space="preserve"> Having seen this material, I do not suffer from this disadvantage, and it seems to me </w:t>
      </w:r>
      <w:r w:rsidR="00CC15F9">
        <w:t xml:space="preserve">appropriate – given the “closed material procedure” </w:t>
      </w:r>
      <w:r w:rsidR="00467A44">
        <w:t xml:space="preserve">that </w:t>
      </w:r>
      <w:r w:rsidR="00C979AE">
        <w:t xml:space="preserve">I should seek to frame Concordia’s point as cogently as the evidence permits. </w:t>
      </w:r>
      <w:r w:rsidR="004B78E9">
        <w:t xml:space="preserve">It seems to me that </w:t>
      </w:r>
      <w:r w:rsidR="00EB73D9">
        <w:t xml:space="preserve">Concordia’s essential point was that the application to Mann </w:t>
      </w:r>
      <w:r w:rsidR="004B78E9">
        <w:t xml:space="preserve">J </w:t>
      </w:r>
      <w:r w:rsidR="00C6053F">
        <w:t>should have been framed as a</w:t>
      </w:r>
      <w:r w:rsidR="004B78E9">
        <w:t xml:space="preserve"> Section 28(1)(a) Case and not (as it was</w:t>
      </w:r>
      <w:r w:rsidR="0026421D">
        <w:t xml:space="preserve"> framed</w:t>
      </w:r>
      <w:r w:rsidR="004B78E9">
        <w:t>) a Section 28(1)(b) Case.</w:t>
      </w:r>
      <w:r w:rsidR="004B78E9">
        <w:rPr>
          <w:rStyle w:val="FootnoteReference"/>
        </w:rPr>
        <w:footnoteReference w:id="16"/>
      </w:r>
    </w:p>
    <w:p w14:paraId="191163CE" w14:textId="51774194" w:rsidR="0036329B" w:rsidRDefault="0036329B" w:rsidP="00BA13AA">
      <w:pPr>
        <w:numPr>
          <w:ilvl w:val="0"/>
          <w:numId w:val="2"/>
        </w:numPr>
        <w:autoSpaceDE w:val="0"/>
        <w:spacing w:before="240" w:after="240"/>
        <w:jc w:val="both"/>
      </w:pPr>
      <w:r>
        <w:t xml:space="preserve">That would have required the CMA to identify reasonable grounds to suspect </w:t>
      </w:r>
      <w:r w:rsidR="000D17A0">
        <w:t xml:space="preserve">non-compliance with the section 26 notices that had been issued by the CMA previously. </w:t>
      </w:r>
      <w:r w:rsidR="0085723F">
        <w:t xml:space="preserve">The CMA identified no such grounds before Mann J. </w:t>
      </w:r>
      <w:r w:rsidR="007F2B07">
        <w:t xml:space="preserve">This leads on to Concordia’s second point, which is that the CMA failed </w:t>
      </w:r>
      <w:r w:rsidR="00B61D34">
        <w:t xml:space="preserve">properly to bring to Mann J’s attention the extent of Concordia’s compliance with the </w:t>
      </w:r>
      <w:r w:rsidR="00632A3F">
        <w:t>document retrieval methodology that had been agreed</w:t>
      </w:r>
      <w:r w:rsidR="00556A8B">
        <w:t xml:space="preserve"> between it and Concordia</w:t>
      </w:r>
      <w:r w:rsidR="00632A3F">
        <w:t>.</w:t>
      </w:r>
      <w:r w:rsidR="00632A3F">
        <w:rPr>
          <w:rStyle w:val="FootnoteReference"/>
        </w:rPr>
        <w:footnoteReference w:id="17"/>
      </w:r>
    </w:p>
    <w:p w14:paraId="2DC3D66E" w14:textId="090DD1DC" w:rsidR="001261E4" w:rsidRPr="005972E9" w:rsidRDefault="005972E9" w:rsidP="005972E9">
      <w:pPr>
        <w:keepNext/>
        <w:tabs>
          <w:tab w:val="left" w:pos="567"/>
        </w:tabs>
        <w:autoSpaceDE w:val="0"/>
        <w:spacing w:before="240" w:after="240"/>
        <w:jc w:val="both"/>
        <w:rPr>
          <w:b/>
        </w:rPr>
      </w:pPr>
      <w:r>
        <w:rPr>
          <w:b/>
        </w:rPr>
        <w:t>(6)</w:t>
      </w:r>
      <w:r>
        <w:rPr>
          <w:b/>
        </w:rPr>
        <w:tab/>
        <w:t>Analysis</w:t>
      </w:r>
    </w:p>
    <w:bookmarkEnd w:id="0"/>
    <w:bookmarkEnd w:id="2"/>
    <w:p w14:paraId="0DDE6980" w14:textId="6DAECD60" w:rsidR="008C1CE9" w:rsidRDefault="00BD214E" w:rsidP="00780024">
      <w:pPr>
        <w:numPr>
          <w:ilvl w:val="0"/>
          <w:numId w:val="2"/>
        </w:numPr>
        <w:autoSpaceDE w:val="0"/>
        <w:spacing w:before="240" w:after="240"/>
        <w:jc w:val="both"/>
      </w:pPr>
      <w:r>
        <w:t>Having reviewed all of the material that was before Mann J, I do not consider Concordia’s</w:t>
      </w:r>
      <w:r w:rsidR="005D6179">
        <w:t xml:space="preserve"> contentions to be well-founded. I have reached that conclusion because of the PII Material that </w:t>
      </w:r>
      <w:r w:rsidR="005A0E1C">
        <w:t>Concordia has not seen.</w:t>
      </w:r>
    </w:p>
    <w:p w14:paraId="6609C047" w14:textId="192C15F0" w:rsidR="005A0E1C" w:rsidRDefault="005A0E1C" w:rsidP="00780024">
      <w:pPr>
        <w:numPr>
          <w:ilvl w:val="0"/>
          <w:numId w:val="2"/>
        </w:numPr>
        <w:autoSpaceDE w:val="0"/>
        <w:spacing w:before="240" w:after="240"/>
        <w:jc w:val="both"/>
      </w:pPr>
      <w:r>
        <w:t>I consider that I am able to articulate in a</w:t>
      </w:r>
      <w:r w:rsidR="00556A8B">
        <w:t>n</w:t>
      </w:r>
      <w:r>
        <w:t xml:space="preserve"> open judgment </w:t>
      </w:r>
      <w:r w:rsidR="00A401B8">
        <w:t>why it is that Concordia’s application must be dismissed</w:t>
      </w:r>
      <w:r w:rsidR="00C914E2">
        <w:t>. The following paragraphs make points in relation to the PII Material</w:t>
      </w:r>
      <w:r w:rsidR="00BF050E">
        <w:t xml:space="preserve"> without compromising that material.</w:t>
      </w:r>
      <w:r w:rsidR="00551E90">
        <w:rPr>
          <w:rStyle w:val="FootnoteReference"/>
        </w:rPr>
        <w:footnoteReference w:id="18"/>
      </w:r>
      <w:r w:rsidR="00BF050E">
        <w:t xml:space="preserve"> A draft of this Judgment was shown to the CMA before circulation to Concordia</w:t>
      </w:r>
      <w:r w:rsidR="00F73885">
        <w:t xml:space="preserve"> so that I might have the CMA’s assurance that it was satisfied that the PII material would not be compromised </w:t>
      </w:r>
      <w:r w:rsidR="007B1E39">
        <w:t>by the open publication of this Judgment, and I have received that assurance.</w:t>
      </w:r>
    </w:p>
    <w:p w14:paraId="2BC1AFC7" w14:textId="5BDB4704" w:rsidR="007B1E39" w:rsidRDefault="00C00441" w:rsidP="00780024">
      <w:pPr>
        <w:numPr>
          <w:ilvl w:val="0"/>
          <w:numId w:val="2"/>
        </w:numPr>
        <w:autoSpaceDE w:val="0"/>
        <w:spacing w:before="240" w:after="240"/>
        <w:jc w:val="both"/>
      </w:pPr>
      <w:r>
        <w:t xml:space="preserve">The CMA’s investigations </w:t>
      </w:r>
      <w:r w:rsidR="00E11A42">
        <w:t>into Carbimazole and Hydrocortisone inevitably had a certain focus</w:t>
      </w:r>
      <w:r w:rsidR="00B56584">
        <w:t>. In other words, within the scope of investigation</w:t>
      </w:r>
      <w:r w:rsidR="003F63F7">
        <w:t>s it had commenced, the CMA pursued certain lines of inquiry</w:t>
      </w:r>
      <w:r w:rsidR="00B00A8A">
        <w:t xml:space="preserve"> or focussed on certain specific matters</w:t>
      </w:r>
      <w:r w:rsidR="003F63F7">
        <w:t xml:space="preserve">. </w:t>
      </w:r>
      <w:r w:rsidR="00B74C46">
        <w:t>T</w:t>
      </w:r>
      <w:r w:rsidR="009D7817">
        <w:t xml:space="preserve">hese lines of inquiry </w:t>
      </w:r>
      <w:r w:rsidR="00B00A8A">
        <w:t xml:space="preserve">or areas of focus resulted in </w:t>
      </w:r>
      <w:r w:rsidR="009D7817">
        <w:t>the section 26 notices that I have described</w:t>
      </w:r>
      <w:r w:rsidR="0027196B">
        <w:rPr>
          <w:rStyle w:val="FootnoteReference"/>
        </w:rPr>
        <w:footnoteReference w:id="19"/>
      </w:r>
      <w:r w:rsidR="00B74C46">
        <w:t xml:space="preserve"> and </w:t>
      </w:r>
      <w:r w:rsidR="0027196B">
        <w:t xml:space="preserve">caused the CMA to consider the scope of the </w:t>
      </w:r>
      <w:r w:rsidR="0050537F">
        <w:t xml:space="preserve">document retrieval methodology </w:t>
      </w:r>
      <w:r w:rsidR="0018589F">
        <w:t xml:space="preserve">to be appropriate. </w:t>
      </w:r>
    </w:p>
    <w:p w14:paraId="4DABB338" w14:textId="55DAACA0" w:rsidR="0018589F" w:rsidRDefault="0018589F" w:rsidP="00780024">
      <w:pPr>
        <w:numPr>
          <w:ilvl w:val="0"/>
          <w:numId w:val="2"/>
        </w:numPr>
        <w:autoSpaceDE w:val="0"/>
        <w:spacing w:before="240" w:after="240"/>
        <w:jc w:val="both"/>
      </w:pPr>
      <w:r>
        <w:lastRenderedPageBreak/>
        <w:t xml:space="preserve">The CMA then received the </w:t>
      </w:r>
      <w:r w:rsidR="004D7AFC">
        <w:t xml:space="preserve">material described in Berg 1 and the Berg 1 Exhibit. This material has been redacted on PII grounds </w:t>
      </w:r>
      <w:r w:rsidR="00976B9F">
        <w:t>that I have found to be proper. As a result of this material:</w:t>
      </w:r>
    </w:p>
    <w:p w14:paraId="411D5EA6" w14:textId="24A4B53B" w:rsidR="00976B9F" w:rsidRDefault="00976B9F" w:rsidP="00976B9F">
      <w:pPr>
        <w:numPr>
          <w:ilvl w:val="1"/>
          <w:numId w:val="2"/>
        </w:numPr>
        <w:autoSpaceDE w:val="0"/>
        <w:spacing w:before="240" w:after="240"/>
        <w:jc w:val="both"/>
      </w:pPr>
      <w:r>
        <w:t>The CMA</w:t>
      </w:r>
      <w:r w:rsidR="004E011A">
        <w:t>’s lines of inquiry or areas of focus shifted.</w:t>
      </w:r>
      <w:r w:rsidR="00160DD8">
        <w:rPr>
          <w:rStyle w:val="FootnoteReference"/>
        </w:rPr>
        <w:footnoteReference w:id="20"/>
      </w:r>
    </w:p>
    <w:p w14:paraId="5DC95F9D" w14:textId="151718B1" w:rsidR="005A1197" w:rsidRDefault="00086CB0" w:rsidP="00976B9F">
      <w:pPr>
        <w:numPr>
          <w:ilvl w:val="1"/>
          <w:numId w:val="2"/>
        </w:numPr>
        <w:autoSpaceDE w:val="0"/>
        <w:spacing w:before="240" w:after="240"/>
        <w:jc w:val="both"/>
      </w:pPr>
      <w:r>
        <w:t xml:space="preserve">The CMA came to appreciate that the scope of the </w:t>
      </w:r>
      <w:r w:rsidR="002431E5">
        <w:t xml:space="preserve">document retrieval methodology was no longer appropriate </w:t>
      </w:r>
      <w:r w:rsidR="00186B7E">
        <w:t xml:space="preserve">both in terms of the type of document reviewed and the range of custodians. </w:t>
      </w:r>
      <w:r w:rsidR="00BE5738">
        <w:t xml:space="preserve">I find that the CMA was entitled to conclude that the document retrieval methodology was too narrow in terms of </w:t>
      </w:r>
      <w:r w:rsidR="007D0C43">
        <w:t>the type of document being reviewed</w:t>
      </w:r>
      <w:r w:rsidR="007D0C43">
        <w:rPr>
          <w:rStyle w:val="FootnoteReference"/>
        </w:rPr>
        <w:footnoteReference w:id="21"/>
      </w:r>
      <w:r w:rsidR="00930C76">
        <w:t xml:space="preserve"> and wrongly focussed in terms of the custodians.</w:t>
      </w:r>
      <w:r w:rsidR="00930C76">
        <w:rPr>
          <w:rStyle w:val="FootnoteReference"/>
        </w:rPr>
        <w:footnoteReference w:id="22"/>
      </w:r>
    </w:p>
    <w:p w14:paraId="07C77DC7" w14:textId="06404364" w:rsidR="0048298E" w:rsidRDefault="00491992" w:rsidP="0048298E">
      <w:pPr>
        <w:numPr>
          <w:ilvl w:val="0"/>
          <w:numId w:val="2"/>
        </w:numPr>
        <w:autoSpaceDE w:val="0"/>
        <w:spacing w:before="240" w:after="240"/>
        <w:jc w:val="both"/>
      </w:pPr>
      <w:r>
        <w:t xml:space="preserve">These points were clearly made in Groves 1 </w:t>
      </w:r>
      <w:r w:rsidR="00B53227">
        <w:t>at paragraphs 84 and 85. In particular, Mr Grove</w:t>
      </w:r>
      <w:r w:rsidR="0027155A">
        <w:t>s</w:t>
      </w:r>
      <w:r w:rsidR="00B53227">
        <w:t xml:space="preserve"> stated (at paragraph </w:t>
      </w:r>
      <w:r w:rsidR="00505671">
        <w:t>84):</w:t>
      </w:r>
    </w:p>
    <w:p w14:paraId="30691E87" w14:textId="5F1D72BC" w:rsidR="00505671" w:rsidRPr="0048298E" w:rsidRDefault="00505671" w:rsidP="0048298E">
      <w:pPr>
        <w:autoSpaceDE w:val="0"/>
        <w:spacing w:before="240" w:after="240"/>
        <w:ind w:left="567"/>
        <w:jc w:val="both"/>
      </w:pPr>
      <w:r w:rsidRPr="0048298E">
        <w:rPr>
          <w:sz w:val="22"/>
          <w:szCs w:val="22"/>
        </w:rPr>
        <w:t>“</w:t>
      </w:r>
      <w:r w:rsidR="00580698" w:rsidRPr="0048298E">
        <w:rPr>
          <w:sz w:val="22"/>
          <w:szCs w:val="22"/>
        </w:rPr>
        <w:t>The CMA’s investigation has progressed since Concordia provided its response to the CMA’s requests</w:t>
      </w:r>
      <w:r w:rsidR="00A72C49" w:rsidRPr="0048298E">
        <w:rPr>
          <w:sz w:val="22"/>
          <w:szCs w:val="22"/>
        </w:rPr>
        <w:t xml:space="preserve">. The CMA now considers </w:t>
      </w:r>
      <w:r w:rsidR="001D5038" w:rsidRPr="0048298E">
        <w:rPr>
          <w:sz w:val="22"/>
          <w:szCs w:val="22"/>
        </w:rPr>
        <w:t xml:space="preserve">that Concordia’s response was incomplete, and suspects that as a result, there remain documents relevant </w:t>
      </w:r>
      <w:r w:rsidR="00A232FE" w:rsidRPr="0048298E">
        <w:rPr>
          <w:sz w:val="22"/>
          <w:szCs w:val="22"/>
        </w:rPr>
        <w:t>to the Investigation on Concordia’s premises</w:t>
      </w:r>
      <w:r w:rsidR="004C4CAF" w:rsidRPr="0048298E">
        <w:rPr>
          <w:sz w:val="22"/>
          <w:szCs w:val="22"/>
        </w:rPr>
        <w:t xml:space="preserve">, which have not yet been provided by the CMA. Specifically, the CMA now understands that the methodology proposed </w:t>
      </w:r>
      <w:r w:rsidR="002479FE" w:rsidRPr="0048298E">
        <w:rPr>
          <w:sz w:val="22"/>
          <w:szCs w:val="22"/>
        </w:rPr>
        <w:t>by Concordia is likely to have resulted in the following material omissions of relevant documents…”</w:t>
      </w:r>
    </w:p>
    <w:p w14:paraId="17A0188F" w14:textId="63A6C461" w:rsidR="00505671" w:rsidRDefault="0048298E" w:rsidP="0048298E">
      <w:pPr>
        <w:autoSpaceDE w:val="0"/>
        <w:spacing w:before="240" w:after="240"/>
        <w:ind w:left="567"/>
        <w:jc w:val="both"/>
      </w:pPr>
      <w:r>
        <w:t xml:space="preserve">These potential omissions were then spelt out. </w:t>
      </w:r>
    </w:p>
    <w:p w14:paraId="0FC8B25B" w14:textId="04A1E8D0" w:rsidR="0048298E" w:rsidRDefault="00FC00AB" w:rsidP="002479FE">
      <w:pPr>
        <w:numPr>
          <w:ilvl w:val="0"/>
          <w:numId w:val="2"/>
        </w:numPr>
        <w:autoSpaceDE w:val="0"/>
        <w:spacing w:before="240" w:after="240"/>
        <w:jc w:val="both"/>
      </w:pPr>
      <w:r>
        <w:t xml:space="preserve">I find that the CMA was entitled to </w:t>
      </w:r>
      <w:r w:rsidR="00FB0E38">
        <w:t xml:space="preserve">conclude that there were reasonable grounds for suspecting </w:t>
      </w:r>
      <w:r w:rsidR="00452A8A">
        <w:t xml:space="preserve">that there were, on Concordia’s premises, documents that </w:t>
      </w:r>
      <w:r w:rsidR="00452A8A">
        <w:rPr>
          <w:u w:val="single"/>
        </w:rPr>
        <w:t>were not</w:t>
      </w:r>
      <w:r w:rsidR="00452A8A">
        <w:t xml:space="preserve"> respons</w:t>
      </w:r>
      <w:r w:rsidR="00CE29C6">
        <w:t>iv</w:t>
      </w:r>
      <w:r w:rsidR="00452A8A">
        <w:t xml:space="preserve">e to the document retrieval methodology that </w:t>
      </w:r>
      <w:r w:rsidR="00452A8A">
        <w:rPr>
          <w:u w:val="single"/>
        </w:rPr>
        <w:t>would</w:t>
      </w:r>
      <w:r w:rsidR="00CE29C6">
        <w:t xml:space="preserve"> fall with the ambit of the section 28 warrant that it sought.</w:t>
      </w:r>
      <w:r w:rsidR="003B5ECE">
        <w:t xml:space="preserve"> Accordingly, the first requirement to establish a Section 28(1)(b) Case was made out. </w:t>
      </w:r>
      <w:r w:rsidR="00CF042E">
        <w:t xml:space="preserve">Equally, this clearly was </w:t>
      </w:r>
      <w:r w:rsidR="00CF042E" w:rsidRPr="004254B1">
        <w:rPr>
          <w:u w:val="single"/>
        </w:rPr>
        <w:t>not</w:t>
      </w:r>
      <w:r w:rsidR="00CF042E">
        <w:t xml:space="preserve"> </w:t>
      </w:r>
      <w:r w:rsidR="004254B1">
        <w:t xml:space="preserve">(despite the previous section 26 </w:t>
      </w:r>
      <w:r w:rsidR="00897FDA">
        <w:t>notice</w:t>
      </w:r>
      <w:r w:rsidR="004254B1">
        <w:t xml:space="preserve">s) </w:t>
      </w:r>
      <w:r w:rsidR="00CF042E">
        <w:t xml:space="preserve">a Section 28(1)(a) case: there is no suggestion that Concordia had not complied with the terms of the </w:t>
      </w:r>
      <w:r w:rsidR="00E81252">
        <w:t>document retrieval methodology.</w:t>
      </w:r>
    </w:p>
    <w:p w14:paraId="3571ABAF" w14:textId="7B967314" w:rsidR="00E81252" w:rsidRDefault="00E81252" w:rsidP="002479FE">
      <w:pPr>
        <w:numPr>
          <w:ilvl w:val="0"/>
          <w:numId w:val="2"/>
        </w:numPr>
        <w:autoSpaceDE w:val="0"/>
        <w:spacing w:before="240" w:after="240"/>
        <w:jc w:val="both"/>
      </w:pPr>
      <w:r>
        <w:t xml:space="preserve">Of course, the </w:t>
      </w:r>
      <w:r w:rsidR="00AA2755">
        <w:t xml:space="preserve">limits to the </w:t>
      </w:r>
      <w:r>
        <w:t>document retrieval method</w:t>
      </w:r>
      <w:r w:rsidR="00AA2755">
        <w:t xml:space="preserve">ology might have been agreed entirely innocently by </w:t>
      </w:r>
      <w:r w:rsidR="00115A70">
        <w:t xml:space="preserve">Concordia. However, </w:t>
      </w:r>
      <w:r w:rsidR="005C663E">
        <w:t xml:space="preserve">there were certainly reasonable grounds for suspecting that </w:t>
      </w:r>
      <w:r w:rsidR="00CA6D3C">
        <w:t xml:space="preserve">the search limits had been framed with a view to ensuring that certain types of document </w:t>
      </w:r>
      <w:r w:rsidR="00C45FB6">
        <w:t xml:space="preserve">and certain custodians were </w:t>
      </w:r>
      <w:r w:rsidR="00C45FB6">
        <w:rPr>
          <w:u w:val="single"/>
        </w:rPr>
        <w:t>excluded</w:t>
      </w:r>
      <w:r w:rsidR="00C45FB6">
        <w:t xml:space="preserve"> from the search. </w:t>
      </w:r>
      <w:r w:rsidR="00056AC1">
        <w:t>Paragraph 20 of Berg 1 states:</w:t>
      </w:r>
    </w:p>
    <w:p w14:paraId="55C9CC3D" w14:textId="434C7A2D" w:rsidR="00056AC1" w:rsidRPr="00056AC1" w:rsidRDefault="00056AC1" w:rsidP="00056AC1">
      <w:pPr>
        <w:autoSpaceDE w:val="0"/>
        <w:spacing w:before="240" w:after="240"/>
        <w:ind w:left="567"/>
        <w:jc w:val="both"/>
        <w:rPr>
          <w:sz w:val="22"/>
          <w:szCs w:val="22"/>
        </w:rPr>
      </w:pPr>
      <w:r>
        <w:rPr>
          <w:sz w:val="22"/>
          <w:szCs w:val="22"/>
        </w:rPr>
        <w:t>“Overall</w:t>
      </w:r>
      <w:r w:rsidR="00D56BFB">
        <w:rPr>
          <w:sz w:val="22"/>
          <w:szCs w:val="22"/>
        </w:rPr>
        <w:t xml:space="preserve">, if the information obtained by the CMA is correct, it is reasonable to suspect that the relevant personnel </w:t>
      </w:r>
      <w:r w:rsidR="00B06EF4">
        <w:rPr>
          <w:sz w:val="22"/>
          <w:szCs w:val="22"/>
        </w:rPr>
        <w:t xml:space="preserve">at Concordia who were responsible for managing the response to the CMA’s section 26 </w:t>
      </w:r>
      <w:r w:rsidR="001645AB">
        <w:rPr>
          <w:sz w:val="22"/>
          <w:szCs w:val="22"/>
        </w:rPr>
        <w:t xml:space="preserve">notices ought to have know that Concordia’s response to the CMA’s section 26 Notice was incomplete. </w:t>
      </w:r>
      <w:r w:rsidR="00EE6592">
        <w:rPr>
          <w:sz w:val="22"/>
          <w:szCs w:val="22"/>
        </w:rPr>
        <w:t xml:space="preserve">That said, I am aware that Concordia would argue that it has fully cooperated to date and that it facilitated </w:t>
      </w:r>
      <w:r w:rsidR="009D3C8F">
        <w:rPr>
          <w:sz w:val="22"/>
          <w:szCs w:val="22"/>
        </w:rPr>
        <w:t xml:space="preserve">the CMA’s investigation by assisting the preservation/imaging of the relevant parts of its IT infrastructure </w:t>
      </w:r>
      <w:r w:rsidR="00132A68">
        <w:rPr>
          <w:sz w:val="22"/>
          <w:szCs w:val="22"/>
        </w:rPr>
        <w:t xml:space="preserve">by way of imaging in the liothyronine, fusidic acid and carbimazole excessive and unfair pricing </w:t>
      </w:r>
      <w:r w:rsidR="006A1730">
        <w:rPr>
          <w:sz w:val="22"/>
          <w:szCs w:val="22"/>
        </w:rPr>
        <w:t xml:space="preserve">investigation (“Project Forest”). Moreover, some (although not all) of the individuals that the CMA considers were omitted </w:t>
      </w:r>
      <w:r w:rsidR="00B604B1">
        <w:rPr>
          <w:sz w:val="22"/>
          <w:szCs w:val="22"/>
        </w:rPr>
        <w:t xml:space="preserve">in Concordia’s </w:t>
      </w:r>
      <w:r w:rsidR="00B604B1">
        <w:rPr>
          <w:sz w:val="22"/>
          <w:szCs w:val="22"/>
        </w:rPr>
        <w:lastRenderedPageBreak/>
        <w:t xml:space="preserve">response in relation to hydrocortisone were later included in the documents produced by Concordia </w:t>
      </w:r>
      <w:r w:rsidR="006271A1">
        <w:rPr>
          <w:sz w:val="22"/>
          <w:szCs w:val="22"/>
        </w:rPr>
        <w:t>in relation to Project Forest.”</w:t>
      </w:r>
    </w:p>
    <w:p w14:paraId="02F13BF9" w14:textId="312A3136" w:rsidR="00056AC1" w:rsidRDefault="006271A1" w:rsidP="002479FE">
      <w:pPr>
        <w:numPr>
          <w:ilvl w:val="0"/>
          <w:numId w:val="2"/>
        </w:numPr>
        <w:autoSpaceDE w:val="0"/>
        <w:spacing w:before="240" w:after="240"/>
        <w:jc w:val="both"/>
      </w:pPr>
      <w:r>
        <w:rPr>
          <w:u w:val="single"/>
        </w:rPr>
        <w:t>If</w:t>
      </w:r>
      <w:r>
        <w:t xml:space="preserve"> that is right – and I consider </w:t>
      </w:r>
      <w:r w:rsidR="005D1BEB">
        <w:t xml:space="preserve">there were reasonable grounds for this suspicion – then a </w:t>
      </w:r>
      <w:r w:rsidR="009B4698">
        <w:t xml:space="preserve">(further) </w:t>
      </w:r>
      <w:r w:rsidR="005D1BEB">
        <w:t xml:space="preserve">section 26 notice requesting production of the very documents deliberately omitted from the scope </w:t>
      </w:r>
      <w:r w:rsidR="00D31A35">
        <w:t xml:space="preserve">of the document retrieval methodology </w:t>
      </w:r>
      <w:r w:rsidR="006E6070">
        <w:t>might very well provoke concealment</w:t>
      </w:r>
      <w:r w:rsidR="00E00280">
        <w:t xml:space="preserve"> of, removal of, tampering with or destruction of </w:t>
      </w:r>
      <w:r w:rsidR="002365E3">
        <w:t xml:space="preserve">these very documents. </w:t>
      </w:r>
      <w:r w:rsidR="00072D05">
        <w:t xml:space="preserve">That point is made in paragraphs </w:t>
      </w:r>
      <w:r w:rsidR="00BD60D4">
        <w:t xml:space="preserve">100 to 104 of Groves 1, and I find that there were reasonable grounds to suspect </w:t>
      </w:r>
      <w:r w:rsidR="00A14F6E">
        <w:t>that the second limb of section 28(1)(b) was satisfied.</w:t>
      </w:r>
    </w:p>
    <w:p w14:paraId="12731A8F" w14:textId="559625BB" w:rsidR="00293A8D" w:rsidRPr="00293A8D" w:rsidRDefault="00293A8D" w:rsidP="00293A8D">
      <w:pPr>
        <w:tabs>
          <w:tab w:val="left" w:pos="567"/>
        </w:tabs>
        <w:autoSpaceDE w:val="0"/>
        <w:spacing w:before="240" w:after="240"/>
        <w:jc w:val="both"/>
        <w:rPr>
          <w:b/>
        </w:rPr>
      </w:pPr>
      <w:r>
        <w:rPr>
          <w:b/>
        </w:rPr>
        <w:t>D.</w:t>
      </w:r>
      <w:r>
        <w:rPr>
          <w:b/>
        </w:rPr>
        <w:tab/>
        <w:t>CONCLUSION</w:t>
      </w:r>
    </w:p>
    <w:p w14:paraId="420E129E" w14:textId="3BFC6CD8" w:rsidR="00293A8D" w:rsidRPr="00D31E08" w:rsidRDefault="00293A8D" w:rsidP="002479FE">
      <w:pPr>
        <w:numPr>
          <w:ilvl w:val="0"/>
          <w:numId w:val="2"/>
        </w:numPr>
        <w:autoSpaceDE w:val="0"/>
        <w:spacing w:before="240" w:after="240"/>
        <w:jc w:val="both"/>
      </w:pPr>
      <w:r>
        <w:t>For the reasons I have given</w:t>
      </w:r>
      <w:r w:rsidR="00692C9A">
        <w:t xml:space="preserve">, Concordia’s application must fail. </w:t>
      </w:r>
      <w:r w:rsidR="005F5B83">
        <w:t xml:space="preserve">Whilst I can see why Concordia was concerned </w:t>
      </w:r>
      <w:r w:rsidR="00004773">
        <w:t>by the reference to new and different abuses in paragraph 4 of the judgment of Mann J</w:t>
      </w:r>
      <w:r w:rsidR="005D2B13">
        <w:t xml:space="preserve">, it is clear that Mann J was using the term “abuse” </w:t>
      </w:r>
      <w:r w:rsidR="009B24D7">
        <w:t xml:space="preserve">in </w:t>
      </w:r>
      <w:r w:rsidR="005D2B13">
        <w:t xml:space="preserve">a non-technical way. He was not referring to the “abuse” being </w:t>
      </w:r>
      <w:r w:rsidR="008C732A">
        <w:t xml:space="preserve">investigated by the CMA – as I have said, that abuse always remained the same – but rather to the shift in focus </w:t>
      </w:r>
      <w:r w:rsidR="00C468D8">
        <w:t xml:space="preserve">caused to the CMA’s investigation by </w:t>
      </w:r>
      <w:r w:rsidR="00F85D09">
        <w:t>the information described in Berg 1 and the Berg 1 Exhibit.</w:t>
      </w:r>
      <w:r w:rsidR="00EA35C1">
        <w:t xml:space="preserve"> That, as it seems to me, </w:t>
      </w:r>
      <w:r w:rsidR="006F3766">
        <w:t>is an entirely understandable use of the term “abuse”</w:t>
      </w:r>
      <w:r w:rsidR="003A492E">
        <w:t>.</w:t>
      </w:r>
    </w:p>
    <w:sectPr w:rsidR="00293A8D" w:rsidRPr="00D31E08" w:rsidSect="00C519F4">
      <w:headerReference w:type="default" r:id="rId13"/>
      <w:footerReference w:type="even" r:id="rId14"/>
      <w:footerReference w:type="default" r:id="rId15"/>
      <w:pgSz w:w="11906" w:h="16838"/>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3D1E" w14:textId="77777777" w:rsidR="00B51CC8" w:rsidRDefault="00B51CC8">
      <w:r>
        <w:separator/>
      </w:r>
    </w:p>
  </w:endnote>
  <w:endnote w:type="continuationSeparator" w:id="0">
    <w:p w14:paraId="3BB01B50" w14:textId="77777777" w:rsidR="00B51CC8" w:rsidRDefault="00B51CC8">
      <w:r>
        <w:continuationSeparator/>
      </w:r>
    </w:p>
  </w:endnote>
  <w:endnote w:type="continuationNotice" w:id="1">
    <w:p w14:paraId="25C387E8" w14:textId="77777777" w:rsidR="00B51CC8" w:rsidRDefault="00B51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9815618"/>
      <w:docPartObj>
        <w:docPartGallery w:val="Page Numbers (Bottom of Page)"/>
        <w:docPartUnique/>
      </w:docPartObj>
    </w:sdtPr>
    <w:sdtEndPr>
      <w:rPr>
        <w:rStyle w:val="PageNumber"/>
      </w:rPr>
    </w:sdtEndPr>
    <w:sdtContent>
      <w:p w14:paraId="7B5EB5B8" w14:textId="77777777" w:rsidR="00C2080A" w:rsidRDefault="00C2080A" w:rsidP="00C208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E468E" w14:textId="77777777" w:rsidR="00C2080A" w:rsidRDefault="00C2080A" w:rsidP="00C20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sz w:val="22"/>
        <w:szCs w:val="22"/>
      </w:rPr>
      <w:id w:val="-909535749"/>
      <w:docPartObj>
        <w:docPartGallery w:val="Page Numbers (Bottom of Page)"/>
        <w:docPartUnique/>
      </w:docPartObj>
    </w:sdtPr>
    <w:sdtEndPr>
      <w:rPr>
        <w:rStyle w:val="PageNumber"/>
      </w:rPr>
    </w:sdtEndPr>
    <w:sdtContent>
      <w:p w14:paraId="1AF5D1ED" w14:textId="6797D222" w:rsidR="00C2080A" w:rsidRPr="00C2080A" w:rsidRDefault="00C2080A" w:rsidP="00C2080A">
        <w:pPr>
          <w:pStyle w:val="Footer"/>
          <w:framePr w:wrap="none" w:vAnchor="text" w:hAnchor="margin" w:xAlign="center" w:y="1"/>
          <w:rPr>
            <w:rStyle w:val="PageNumber"/>
            <w:rFonts w:ascii="Times New Roman" w:hAnsi="Times New Roman"/>
            <w:sz w:val="22"/>
            <w:szCs w:val="22"/>
          </w:rPr>
        </w:pPr>
        <w:r w:rsidRPr="00C2080A">
          <w:rPr>
            <w:rStyle w:val="PageNumber"/>
            <w:rFonts w:ascii="Times New Roman" w:hAnsi="Times New Roman"/>
            <w:sz w:val="22"/>
            <w:szCs w:val="22"/>
          </w:rPr>
          <w:fldChar w:fldCharType="begin"/>
        </w:r>
        <w:r w:rsidRPr="00C2080A">
          <w:rPr>
            <w:rStyle w:val="PageNumber"/>
            <w:rFonts w:ascii="Times New Roman" w:hAnsi="Times New Roman"/>
            <w:sz w:val="22"/>
            <w:szCs w:val="22"/>
          </w:rPr>
          <w:instrText xml:space="preserve"> PAGE </w:instrText>
        </w:r>
        <w:r w:rsidRPr="00C2080A">
          <w:rPr>
            <w:rStyle w:val="PageNumber"/>
            <w:rFonts w:ascii="Times New Roman" w:hAnsi="Times New Roman"/>
            <w:sz w:val="22"/>
            <w:szCs w:val="22"/>
          </w:rPr>
          <w:fldChar w:fldCharType="separate"/>
        </w:r>
        <w:r w:rsidR="00410880">
          <w:rPr>
            <w:rStyle w:val="PageNumber"/>
            <w:rFonts w:ascii="Times New Roman" w:hAnsi="Times New Roman"/>
            <w:noProof/>
            <w:sz w:val="22"/>
            <w:szCs w:val="22"/>
          </w:rPr>
          <w:t>11</w:t>
        </w:r>
        <w:r w:rsidRPr="00C2080A">
          <w:rPr>
            <w:rStyle w:val="PageNumber"/>
            <w:rFonts w:ascii="Times New Roman" w:hAnsi="Times New Roman"/>
            <w:sz w:val="22"/>
            <w:szCs w:val="22"/>
          </w:rPr>
          <w:fldChar w:fldCharType="end"/>
        </w:r>
      </w:p>
    </w:sdtContent>
  </w:sdt>
  <w:p w14:paraId="63832519" w14:textId="77777777" w:rsidR="00C2080A" w:rsidRDefault="00C2080A" w:rsidP="00C2080A">
    <w:pPr>
      <w:pStyle w:val="Footer"/>
      <w:ind w:right="360"/>
      <w:jc w:val="cen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270A" w14:textId="77777777" w:rsidR="00B51CC8" w:rsidRDefault="00B51CC8">
      <w:r>
        <w:rPr>
          <w:color w:val="000000"/>
        </w:rPr>
        <w:separator/>
      </w:r>
    </w:p>
  </w:footnote>
  <w:footnote w:type="continuationSeparator" w:id="0">
    <w:p w14:paraId="46EC8A7A" w14:textId="77777777" w:rsidR="00B51CC8" w:rsidRDefault="00B51CC8">
      <w:r>
        <w:continuationSeparator/>
      </w:r>
    </w:p>
  </w:footnote>
  <w:footnote w:type="continuationNotice" w:id="1">
    <w:p w14:paraId="5B6A91AE" w14:textId="77777777" w:rsidR="00B51CC8" w:rsidRDefault="00B51CC8"/>
  </w:footnote>
  <w:footnote w:id="2">
    <w:p w14:paraId="1FB8127E" w14:textId="77777777" w:rsidR="004F4B21" w:rsidRPr="002211B9" w:rsidRDefault="004F4B21" w:rsidP="004F4B21">
      <w:pPr>
        <w:pStyle w:val="FootnoteText"/>
      </w:pPr>
      <w:r>
        <w:rPr>
          <w:rStyle w:val="FootnoteReference"/>
        </w:rPr>
        <w:footnoteRef/>
      </w:r>
      <w:r>
        <w:t xml:space="preserve"> </w:t>
      </w:r>
      <w:r>
        <w:rPr>
          <w:i/>
        </w:rPr>
        <w:t>The Competition and Market Authority v. Concordia International Rx (UK) Limited</w:t>
      </w:r>
      <w:r>
        <w:t xml:space="preserve"> [2017] EWHC 2911 (Ch) and [2018] EWCA Civ 1881.</w:t>
      </w:r>
    </w:p>
  </w:footnote>
  <w:footnote w:id="3">
    <w:p w14:paraId="08783530" w14:textId="6D5F6358" w:rsidR="007E61C7" w:rsidRPr="00625213" w:rsidRDefault="007E61C7">
      <w:pPr>
        <w:pStyle w:val="FootnoteText"/>
      </w:pPr>
      <w:r>
        <w:rPr>
          <w:rStyle w:val="FootnoteReference"/>
        </w:rPr>
        <w:footnoteRef/>
      </w:r>
      <w:r>
        <w:t xml:space="preserve"> </w:t>
      </w:r>
      <w:r w:rsidR="00D34739">
        <w:rPr>
          <w:i/>
        </w:rPr>
        <w:t>R (Haralambous) v. Crown Court at St Albans</w:t>
      </w:r>
      <w:r w:rsidR="00D34739">
        <w:t xml:space="preserve"> [2018] UKSC 1 (</w:t>
      </w:r>
      <w:r w:rsidR="00625213">
        <w:t>“</w:t>
      </w:r>
      <w:r w:rsidR="00625213">
        <w:rPr>
          <w:i/>
        </w:rPr>
        <w:t>Haralambous</w:t>
      </w:r>
      <w:r w:rsidR="00625213">
        <w:t>”).</w:t>
      </w:r>
    </w:p>
  </w:footnote>
  <w:footnote w:id="4">
    <w:p w14:paraId="1ABA762E" w14:textId="18416051" w:rsidR="0042096D" w:rsidRDefault="0042096D">
      <w:pPr>
        <w:pStyle w:val="FootnoteText"/>
      </w:pPr>
      <w:r>
        <w:rPr>
          <w:rStyle w:val="FootnoteReference"/>
        </w:rPr>
        <w:footnoteRef/>
      </w:r>
      <w:r>
        <w:t xml:space="preserve"> </w:t>
      </w:r>
      <w:r w:rsidR="001E2635">
        <w:t>[1980] 1 AC 952.</w:t>
      </w:r>
    </w:p>
  </w:footnote>
  <w:footnote w:id="5">
    <w:p w14:paraId="5F52B8B6" w14:textId="7059063E" w:rsidR="002C01DE" w:rsidRDefault="002C01DE">
      <w:pPr>
        <w:pStyle w:val="FootnoteText"/>
      </w:pPr>
      <w:r>
        <w:rPr>
          <w:rStyle w:val="FootnoteReference"/>
        </w:rPr>
        <w:footnoteRef/>
      </w:r>
      <w:r>
        <w:t xml:space="preserve"> At [52].</w:t>
      </w:r>
    </w:p>
  </w:footnote>
  <w:footnote w:id="6">
    <w:p w14:paraId="74931E8C" w14:textId="0330757B" w:rsidR="00085DAD" w:rsidRDefault="00085DAD">
      <w:pPr>
        <w:pStyle w:val="FootnoteText"/>
      </w:pPr>
      <w:r>
        <w:rPr>
          <w:rStyle w:val="FootnoteReference"/>
        </w:rPr>
        <w:footnoteRef/>
      </w:r>
      <w:r>
        <w:t xml:space="preserve"> At [52]. </w:t>
      </w:r>
    </w:p>
  </w:footnote>
  <w:footnote w:id="7">
    <w:p w14:paraId="450C4A72" w14:textId="4A1B748E" w:rsidR="0007408A" w:rsidRDefault="0007408A">
      <w:pPr>
        <w:pStyle w:val="FootnoteText"/>
      </w:pPr>
      <w:r>
        <w:rPr>
          <w:rStyle w:val="FootnoteReference"/>
        </w:rPr>
        <w:footnoteRef/>
      </w:r>
      <w:r>
        <w:t xml:space="preserve"> At [59].</w:t>
      </w:r>
    </w:p>
  </w:footnote>
  <w:footnote w:id="8">
    <w:p w14:paraId="2C7F91DA" w14:textId="5D1A341C" w:rsidR="008B5124" w:rsidRPr="004C6F58" w:rsidRDefault="008B5124">
      <w:pPr>
        <w:pStyle w:val="FootnoteText"/>
      </w:pPr>
      <w:r>
        <w:rPr>
          <w:rStyle w:val="FootnoteReference"/>
        </w:rPr>
        <w:footnoteRef/>
      </w:r>
      <w:r>
        <w:t xml:space="preserve"> I was dealing with the </w:t>
      </w:r>
      <w:r w:rsidR="0080439D">
        <w:t xml:space="preserve">CMA’s contention that </w:t>
      </w:r>
      <w:r w:rsidR="004C6F58">
        <w:t xml:space="preserve">the </w:t>
      </w:r>
      <w:r w:rsidR="004C6F58">
        <w:rPr>
          <w:i/>
        </w:rPr>
        <w:t xml:space="preserve">Rossminster </w:t>
      </w:r>
      <w:r w:rsidR="004C6F58">
        <w:t>process ought to apply.</w:t>
      </w:r>
    </w:p>
  </w:footnote>
  <w:footnote w:id="9">
    <w:p w14:paraId="446E2027" w14:textId="77777777" w:rsidR="00CE253D" w:rsidRDefault="00CE253D" w:rsidP="00CE253D">
      <w:pPr>
        <w:pStyle w:val="FootnoteText"/>
      </w:pPr>
      <w:r>
        <w:rPr>
          <w:rStyle w:val="FootnoteReference"/>
        </w:rPr>
        <w:footnoteRef/>
      </w:r>
      <w:r>
        <w:t xml:space="preserve"> [2017] EWHC 2911 (Ch) at [37] to [45]</w:t>
      </w:r>
    </w:p>
  </w:footnote>
  <w:footnote w:id="10">
    <w:p w14:paraId="068D40CB" w14:textId="77D07E9F" w:rsidR="00332B06" w:rsidRDefault="00332B06" w:rsidP="00332B06">
      <w:pPr>
        <w:pStyle w:val="FootnoteText"/>
      </w:pPr>
      <w:r>
        <w:rPr>
          <w:rStyle w:val="FootnoteReference"/>
        </w:rPr>
        <w:footnoteRef/>
      </w:r>
      <w:r>
        <w:t xml:space="preserve"> CMA’s supplemental submissions at [4].</w:t>
      </w:r>
      <w:r w:rsidR="007658DD">
        <w:t xml:space="preserve"> The analogy was limited </w:t>
      </w:r>
      <w:r w:rsidR="00BE1D1A">
        <w:t>to the point in time at which the decision should be assessed.</w:t>
      </w:r>
    </w:p>
  </w:footnote>
  <w:footnote w:id="11">
    <w:p w14:paraId="6B455BE9" w14:textId="43E6214A" w:rsidR="00B073C0" w:rsidRDefault="00B073C0">
      <w:pPr>
        <w:pStyle w:val="FootnoteText"/>
      </w:pPr>
      <w:r>
        <w:rPr>
          <w:rStyle w:val="FootnoteReference"/>
        </w:rPr>
        <w:footnoteRef/>
      </w:r>
      <w:r>
        <w:t xml:space="preserve"> [2017] EWHC 374 (Ch).</w:t>
      </w:r>
    </w:p>
  </w:footnote>
  <w:footnote w:id="12">
    <w:p w14:paraId="0BC9E6E5" w14:textId="0A6F648D" w:rsidR="006E0F22" w:rsidRDefault="006E0F22">
      <w:pPr>
        <w:pStyle w:val="FootnoteText"/>
      </w:pPr>
      <w:r>
        <w:rPr>
          <w:rStyle w:val="FootnoteReference"/>
        </w:rPr>
        <w:footnoteRef/>
      </w:r>
      <w:r>
        <w:t xml:space="preserve"> Paragraph 9.1 of the Practice Direction.</w:t>
      </w:r>
    </w:p>
  </w:footnote>
  <w:footnote w:id="13">
    <w:p w14:paraId="6A6EF1AE" w14:textId="16809D9D" w:rsidR="00063CA4" w:rsidRDefault="00063CA4">
      <w:pPr>
        <w:pStyle w:val="FootnoteText"/>
      </w:pPr>
      <w:r>
        <w:rPr>
          <w:rStyle w:val="FootnoteReference"/>
        </w:rPr>
        <w:footnoteRef/>
      </w:r>
      <w:r>
        <w:t xml:space="preserve"> See [33(1)] of my judgment. </w:t>
      </w:r>
    </w:p>
  </w:footnote>
  <w:footnote w:id="14">
    <w:p w14:paraId="752BA632" w14:textId="13E104B7" w:rsidR="001F42FB" w:rsidRDefault="001F42FB">
      <w:pPr>
        <w:pStyle w:val="FootnoteText"/>
      </w:pPr>
      <w:r>
        <w:rPr>
          <w:rStyle w:val="FootnoteReference"/>
        </w:rPr>
        <w:footnoteRef/>
      </w:r>
      <w:r>
        <w:t xml:space="preserve"> See [33(2)] of my judgment.</w:t>
      </w:r>
    </w:p>
  </w:footnote>
  <w:footnote w:id="15">
    <w:p w14:paraId="6B021B66" w14:textId="66155209" w:rsidR="00012285" w:rsidRDefault="00012285">
      <w:pPr>
        <w:pStyle w:val="FootnoteText"/>
      </w:pPr>
      <w:r>
        <w:rPr>
          <w:rStyle w:val="FootnoteReference"/>
        </w:rPr>
        <w:footnoteRef/>
      </w:r>
      <w:r>
        <w:t xml:space="preserve"> </w:t>
      </w:r>
      <w:r w:rsidR="00493CF8">
        <w:t>See paragraph 17 above.</w:t>
      </w:r>
    </w:p>
  </w:footnote>
  <w:footnote w:id="16">
    <w:p w14:paraId="734CA705" w14:textId="51588DC0" w:rsidR="004B78E9" w:rsidRDefault="004B78E9">
      <w:pPr>
        <w:pStyle w:val="FootnoteText"/>
      </w:pPr>
      <w:r>
        <w:rPr>
          <w:rStyle w:val="FootnoteReference"/>
        </w:rPr>
        <w:footnoteRef/>
      </w:r>
      <w:r>
        <w:t xml:space="preserve"> </w:t>
      </w:r>
      <w:r w:rsidR="0036329B">
        <w:t>See paragraph 15(3) above.</w:t>
      </w:r>
    </w:p>
  </w:footnote>
  <w:footnote w:id="17">
    <w:p w14:paraId="1551DDDB" w14:textId="73E1438B" w:rsidR="00632A3F" w:rsidRDefault="00632A3F">
      <w:pPr>
        <w:pStyle w:val="FootnoteText"/>
      </w:pPr>
      <w:r>
        <w:rPr>
          <w:rStyle w:val="FootnoteReference"/>
        </w:rPr>
        <w:footnoteRef/>
      </w:r>
      <w:r>
        <w:t xml:space="preserve"> See paragraph </w:t>
      </w:r>
      <w:r w:rsidR="00551E90">
        <w:t>18</w:t>
      </w:r>
      <w:r>
        <w:t xml:space="preserve"> above.</w:t>
      </w:r>
    </w:p>
  </w:footnote>
  <w:footnote w:id="18">
    <w:p w14:paraId="4B5245E5" w14:textId="3B355CF8" w:rsidR="00551E90" w:rsidRDefault="00551E90">
      <w:pPr>
        <w:pStyle w:val="FootnoteText"/>
      </w:pPr>
      <w:r>
        <w:rPr>
          <w:rStyle w:val="FootnoteReference"/>
        </w:rPr>
        <w:footnoteRef/>
      </w:r>
      <w:r>
        <w:t xml:space="preserve"> </w:t>
      </w:r>
      <w:r w:rsidR="0014688F">
        <w:t xml:space="preserve">For convenience, and to show my reasoning, I reference the relevant parts of the PII Material, without quoting </w:t>
      </w:r>
      <w:r w:rsidR="000E225B">
        <w:t xml:space="preserve">from it. </w:t>
      </w:r>
      <w:r w:rsidR="006C37A8">
        <w:t>The PII protecting the material obviously continues to stand, notwithstanding such references.</w:t>
      </w:r>
    </w:p>
  </w:footnote>
  <w:footnote w:id="19">
    <w:p w14:paraId="63C4569E" w14:textId="291B58D8" w:rsidR="0027196B" w:rsidRDefault="0027196B">
      <w:pPr>
        <w:pStyle w:val="FootnoteText"/>
      </w:pPr>
      <w:r>
        <w:rPr>
          <w:rStyle w:val="FootnoteReference"/>
        </w:rPr>
        <w:footnoteRef/>
      </w:r>
      <w:r>
        <w:t xml:space="preserve"> See paragraph </w:t>
      </w:r>
      <w:r w:rsidR="00551E90">
        <w:t>18</w:t>
      </w:r>
      <w:r>
        <w:t xml:space="preserve"> above.</w:t>
      </w:r>
    </w:p>
  </w:footnote>
  <w:footnote w:id="20">
    <w:p w14:paraId="06055EA7" w14:textId="4AAE8803" w:rsidR="00160DD8" w:rsidRDefault="00160DD8">
      <w:pPr>
        <w:pStyle w:val="FootnoteText"/>
      </w:pPr>
      <w:r>
        <w:rPr>
          <w:rStyle w:val="FootnoteReference"/>
        </w:rPr>
        <w:footnoteRef/>
      </w:r>
      <w:r>
        <w:t xml:space="preserve"> </w:t>
      </w:r>
      <w:r w:rsidR="005A1197" w:rsidRPr="00551E90">
        <w:rPr>
          <w:b/>
          <w:u w:val="single"/>
        </w:rPr>
        <w:t>PII Material</w:t>
      </w:r>
      <w:r w:rsidR="005A1197">
        <w:rPr>
          <w:b/>
        </w:rPr>
        <w:t xml:space="preserve"> </w:t>
      </w:r>
      <w:r w:rsidR="005A1197">
        <w:t>Berg Exibit 1/tab 2/paras 13 and 14.</w:t>
      </w:r>
    </w:p>
  </w:footnote>
  <w:footnote w:id="21">
    <w:p w14:paraId="31EBDEEF" w14:textId="620DC62B" w:rsidR="007D0C43" w:rsidRPr="00436003" w:rsidRDefault="007D0C43">
      <w:pPr>
        <w:pStyle w:val="FootnoteText"/>
      </w:pPr>
      <w:r>
        <w:rPr>
          <w:rStyle w:val="FootnoteReference"/>
        </w:rPr>
        <w:footnoteRef/>
      </w:r>
      <w:r>
        <w:t xml:space="preserve"> </w:t>
      </w:r>
      <w:r w:rsidR="00436003" w:rsidRPr="00551E90">
        <w:rPr>
          <w:b/>
          <w:u w:val="single"/>
        </w:rPr>
        <w:t>PII Material</w:t>
      </w:r>
      <w:r w:rsidR="00436003">
        <w:rPr>
          <w:b/>
        </w:rPr>
        <w:t xml:space="preserve"> </w:t>
      </w:r>
      <w:r w:rsidR="00436003">
        <w:t>Berg Exhibit 1/tab 3/paras18, 19, 20</w:t>
      </w:r>
      <w:r w:rsidR="00930C76">
        <w:t xml:space="preserve"> and 23.</w:t>
      </w:r>
    </w:p>
  </w:footnote>
  <w:footnote w:id="22">
    <w:p w14:paraId="78BC3251" w14:textId="56EC5FEC" w:rsidR="00930C76" w:rsidRPr="007409D0" w:rsidRDefault="00930C76">
      <w:pPr>
        <w:pStyle w:val="FootnoteText"/>
      </w:pPr>
      <w:r>
        <w:rPr>
          <w:rStyle w:val="FootnoteReference"/>
        </w:rPr>
        <w:footnoteRef/>
      </w:r>
      <w:r>
        <w:t xml:space="preserve"> </w:t>
      </w:r>
      <w:r w:rsidR="006B5E25">
        <w:t xml:space="preserve">The custodians are described in paragraph 79 of </w:t>
      </w:r>
      <w:r w:rsidR="00133CD3">
        <w:t xml:space="preserve">Groves 1. Compare </w:t>
      </w:r>
      <w:r w:rsidR="00133CD3" w:rsidRPr="00551E90">
        <w:rPr>
          <w:b/>
          <w:u w:val="single"/>
        </w:rPr>
        <w:t xml:space="preserve">PII </w:t>
      </w:r>
      <w:r w:rsidR="007409D0" w:rsidRPr="00551E90">
        <w:rPr>
          <w:b/>
          <w:u w:val="single"/>
        </w:rPr>
        <w:t>Material</w:t>
      </w:r>
      <w:r w:rsidR="007409D0">
        <w:rPr>
          <w:b/>
        </w:rPr>
        <w:t xml:space="preserve"> </w:t>
      </w:r>
      <w:r w:rsidR="007409D0">
        <w:t>Berg Exhibit 1/tab 3</w:t>
      </w:r>
      <w:r w:rsidR="00E54478">
        <w:t>/paras 10 and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78D1" w14:textId="7EFFE017" w:rsidR="00C11C01" w:rsidRPr="00C11C01" w:rsidRDefault="00C11C01">
    <w:pPr>
      <w:pStyle w:val="Header"/>
      <w:rPr>
        <w:b/>
        <w:sz w:val="16"/>
        <w:szCs w:val="16"/>
      </w:rPr>
    </w:pPr>
    <w:r w:rsidRPr="00C11C01">
      <w:rPr>
        <w:b/>
        <w:sz w:val="16"/>
        <w:szCs w:val="16"/>
      </w:rPr>
      <w:t>Approved judgment handed down by the court</w:t>
    </w:r>
    <w:r w:rsidRPr="00C11C01">
      <w:rPr>
        <w:b/>
        <w:sz w:val="16"/>
        <w:szCs w:val="16"/>
      </w:rPr>
      <w:tab/>
    </w:r>
    <w:r w:rsidRPr="00C11C01">
      <w:rPr>
        <w:b/>
        <w:sz w:val="16"/>
        <w:szCs w:val="16"/>
      </w:rPr>
      <w:tab/>
      <w:t xml:space="preserve">             CMA v. Concordia</w:t>
    </w:r>
  </w:p>
  <w:p w14:paraId="3944C778" w14:textId="66D4D142" w:rsidR="00C11C01" w:rsidRPr="00C11C01" w:rsidRDefault="00C11C01">
    <w:pPr>
      <w:pStyle w:val="Header"/>
      <w:rPr>
        <w:b/>
        <w:sz w:val="16"/>
        <w:szCs w:val="16"/>
      </w:rPr>
    </w:pPr>
    <w:r w:rsidRPr="00C11C01">
      <w:rPr>
        <w:b/>
        <w:sz w:val="16"/>
        <w:szCs w:val="16"/>
      </w:rPr>
      <w:t>Mr. Justice Marcus Smith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C4993"/>
    <w:multiLevelType w:val="multilevel"/>
    <w:tmpl w:val="830CC802"/>
    <w:lvl w:ilvl="0">
      <w:start w:val="1"/>
      <w:numFmt w:val="decimal"/>
      <w:lvlText w:val="%1."/>
      <w:lvlJc w:val="left"/>
      <w:pPr>
        <w:ind w:left="567" w:hanging="567"/>
      </w:pPr>
      <w:rPr>
        <w:rFonts w:ascii="Arial" w:hAnsi="Arial" w:cs="Univers"/>
        <w:b/>
        <w:i w:val="0"/>
        <w:spacing w:val="0"/>
        <w:sz w:val="16"/>
        <w:szCs w:val="18"/>
      </w:rPr>
    </w:lvl>
    <w:lvl w:ilvl="1">
      <w:start w:val="1"/>
      <w:numFmt w:val="decimal"/>
      <w:lvlText w:val="(%2)"/>
      <w:lvlJc w:val="left"/>
      <w:pPr>
        <w:ind w:left="1134" w:hanging="567"/>
      </w:pPr>
      <w:rPr>
        <w:rFonts w:ascii="Arial" w:hAnsi="Arial" w:cs="Univers"/>
        <w:b/>
        <w:i w:val="0"/>
        <w:spacing w:val="0"/>
        <w:sz w:val="16"/>
        <w:szCs w:val="18"/>
      </w:rPr>
    </w:lvl>
    <w:lvl w:ilvl="2">
      <w:start w:val="1"/>
      <w:numFmt w:val="lowerLetter"/>
      <w:lvlText w:val="(%3)"/>
      <w:lvlJc w:val="left"/>
      <w:pPr>
        <w:ind w:left="1814" w:hanging="680"/>
      </w:pPr>
      <w:rPr>
        <w:rFonts w:ascii="Arial" w:hAnsi="Arial" w:cs="Times New Roman"/>
        <w:b/>
        <w:i w:val="0"/>
        <w:spacing w:val="0"/>
        <w:sz w:val="16"/>
        <w:szCs w:val="18"/>
      </w:rPr>
    </w:lvl>
    <w:lvl w:ilvl="3">
      <w:start w:val="1"/>
      <w:numFmt w:val="lowerRoman"/>
      <w:lvlText w:val="(%4)"/>
      <w:lvlJc w:val="left"/>
      <w:pPr>
        <w:ind w:left="2448" w:hanging="648"/>
      </w:pPr>
      <w:rPr>
        <w:rFonts w:ascii="Arial" w:hAnsi="Arial" w:hint="default"/>
        <w:b/>
        <w:i w:val="0"/>
        <w:spacing w:val="0"/>
        <w:sz w:val="16"/>
        <w:szCs w:val="18"/>
      </w:rPr>
    </w:lvl>
    <w:lvl w:ilvl="4">
      <w:start w:val="1"/>
      <w:numFmt w:val="lowerLetter"/>
      <w:lvlText w:val="(%5)"/>
      <w:lvlJc w:val="left"/>
      <w:pPr>
        <w:ind w:left="1800" w:hanging="360"/>
      </w:pPr>
    </w:lvl>
    <w:lvl w:ilvl="5">
      <w:start w:val="1"/>
      <w:numFmt w:val="decimal"/>
      <w:lvlText w:val="(%6)"/>
      <w:lvlJc w:val="left"/>
      <w:pPr>
        <w:ind w:left="2160" w:hanging="360"/>
      </w:pPr>
      <w:rPr>
        <w:rFonts w:ascii="Times" w:eastAsia="Times New Roman" w:hAnsi="Time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D543F7"/>
    <w:multiLevelType w:val="hybridMultilevel"/>
    <w:tmpl w:val="2534832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4B7E6154"/>
    <w:multiLevelType w:val="multilevel"/>
    <w:tmpl w:val="3F5E8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233707"/>
    <w:multiLevelType w:val="hybridMultilevel"/>
    <w:tmpl w:val="73AAB4B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76F557F1"/>
    <w:multiLevelType w:val="multilevel"/>
    <w:tmpl w:val="8F9AADEE"/>
    <w:lvl w:ilvl="0">
      <w:start w:val="1"/>
      <w:numFmt w:val="decimal"/>
      <w:lvlText w:val="%1."/>
      <w:lvlJc w:val="left"/>
      <w:pPr>
        <w:ind w:left="567" w:hanging="567"/>
      </w:pPr>
      <w:rPr>
        <w:rFonts w:ascii="Arial" w:hAnsi="Arial" w:cs="Univers"/>
        <w:b/>
        <w:i w:val="0"/>
        <w:spacing w:val="0"/>
        <w:sz w:val="16"/>
        <w:szCs w:val="18"/>
      </w:rPr>
    </w:lvl>
    <w:lvl w:ilvl="1">
      <w:start w:val="1"/>
      <w:numFmt w:val="decimal"/>
      <w:lvlText w:val="(%2)"/>
      <w:lvlJc w:val="left"/>
      <w:pPr>
        <w:ind w:left="1134" w:hanging="567"/>
      </w:pPr>
      <w:rPr>
        <w:rFonts w:ascii="Arial" w:hAnsi="Arial" w:cs="Univers"/>
        <w:b/>
        <w:i w:val="0"/>
        <w:spacing w:val="0"/>
        <w:sz w:val="16"/>
        <w:szCs w:val="18"/>
      </w:rPr>
    </w:lvl>
    <w:lvl w:ilvl="2">
      <w:start w:val="1"/>
      <w:numFmt w:val="lowerLetter"/>
      <w:lvlText w:val="(%3)"/>
      <w:lvlJc w:val="left"/>
      <w:pPr>
        <w:ind w:left="1814" w:hanging="680"/>
      </w:pPr>
      <w:rPr>
        <w:rFonts w:ascii="Arial" w:hAnsi="Arial" w:cs="Times New Roman"/>
        <w:b/>
        <w:i w:val="0"/>
        <w:spacing w:val="0"/>
        <w:sz w:val="16"/>
        <w:szCs w:val="18"/>
      </w:rPr>
    </w:lvl>
    <w:lvl w:ilvl="3">
      <w:start w:val="1"/>
      <w:numFmt w:val="lowerLetter"/>
      <w:lvlText w:val="(%4)"/>
      <w:lvlJc w:val="left"/>
      <w:pPr>
        <w:ind w:left="2448" w:hanging="648"/>
      </w:pPr>
      <w:rPr>
        <w:rFonts w:ascii="Arial" w:hAnsi="Arial" w:cs="Univers"/>
        <w:b/>
        <w:i w:val="0"/>
        <w:spacing w:val="0"/>
        <w:sz w:val="18"/>
        <w:szCs w:val="18"/>
      </w:rPr>
    </w:lvl>
    <w:lvl w:ilvl="4">
      <w:start w:val="1"/>
      <w:numFmt w:val="lowerLetter"/>
      <w:lvlText w:val="(%5)"/>
      <w:lvlJc w:val="left"/>
      <w:pPr>
        <w:ind w:left="1800" w:hanging="360"/>
      </w:pPr>
    </w:lvl>
    <w:lvl w:ilvl="5">
      <w:start w:val="1"/>
      <w:numFmt w:val="decimal"/>
      <w:lvlText w:val="(%6)"/>
      <w:lvlJc w:val="left"/>
      <w:pPr>
        <w:ind w:left="2160" w:hanging="360"/>
      </w:pPr>
      <w:rPr>
        <w:rFonts w:ascii="Times" w:eastAsia="Times New Roman" w:hAnsi="Times"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C3"/>
    <w:rsid w:val="0000003F"/>
    <w:rsid w:val="0000112F"/>
    <w:rsid w:val="0000131D"/>
    <w:rsid w:val="00002230"/>
    <w:rsid w:val="00003DE6"/>
    <w:rsid w:val="00004773"/>
    <w:rsid w:val="00004886"/>
    <w:rsid w:val="00004C2D"/>
    <w:rsid w:val="00005FBA"/>
    <w:rsid w:val="00006655"/>
    <w:rsid w:val="0000739D"/>
    <w:rsid w:val="00007584"/>
    <w:rsid w:val="00007DD6"/>
    <w:rsid w:val="000101EB"/>
    <w:rsid w:val="00011697"/>
    <w:rsid w:val="00012285"/>
    <w:rsid w:val="00013349"/>
    <w:rsid w:val="00013522"/>
    <w:rsid w:val="000156FC"/>
    <w:rsid w:val="000162CE"/>
    <w:rsid w:val="00016427"/>
    <w:rsid w:val="00016C71"/>
    <w:rsid w:val="00016D17"/>
    <w:rsid w:val="000203EC"/>
    <w:rsid w:val="000205BC"/>
    <w:rsid w:val="0002105B"/>
    <w:rsid w:val="000220AB"/>
    <w:rsid w:val="00022282"/>
    <w:rsid w:val="000224FD"/>
    <w:rsid w:val="000226D0"/>
    <w:rsid w:val="00022A26"/>
    <w:rsid w:val="00023538"/>
    <w:rsid w:val="00024D07"/>
    <w:rsid w:val="00026749"/>
    <w:rsid w:val="0003147D"/>
    <w:rsid w:val="00031AE9"/>
    <w:rsid w:val="00033CC3"/>
    <w:rsid w:val="00034932"/>
    <w:rsid w:val="00034FA7"/>
    <w:rsid w:val="00035231"/>
    <w:rsid w:val="00036B89"/>
    <w:rsid w:val="00037D57"/>
    <w:rsid w:val="000409DA"/>
    <w:rsid w:val="0004162F"/>
    <w:rsid w:val="000427F2"/>
    <w:rsid w:val="00042C58"/>
    <w:rsid w:val="00044C7C"/>
    <w:rsid w:val="00045549"/>
    <w:rsid w:val="000458B1"/>
    <w:rsid w:val="00047E38"/>
    <w:rsid w:val="000501C1"/>
    <w:rsid w:val="00050339"/>
    <w:rsid w:val="00052D0F"/>
    <w:rsid w:val="000551BD"/>
    <w:rsid w:val="000556D0"/>
    <w:rsid w:val="000559DE"/>
    <w:rsid w:val="00056508"/>
    <w:rsid w:val="00056601"/>
    <w:rsid w:val="00056AC1"/>
    <w:rsid w:val="000603DE"/>
    <w:rsid w:val="000619AC"/>
    <w:rsid w:val="0006346F"/>
    <w:rsid w:val="00063B21"/>
    <w:rsid w:val="00063CA4"/>
    <w:rsid w:val="00064900"/>
    <w:rsid w:val="0006496F"/>
    <w:rsid w:val="00064FFF"/>
    <w:rsid w:val="00065297"/>
    <w:rsid w:val="0006617A"/>
    <w:rsid w:val="00066281"/>
    <w:rsid w:val="0006671D"/>
    <w:rsid w:val="00066D41"/>
    <w:rsid w:val="000674DD"/>
    <w:rsid w:val="00072D05"/>
    <w:rsid w:val="00072E51"/>
    <w:rsid w:val="000734F3"/>
    <w:rsid w:val="0007352F"/>
    <w:rsid w:val="0007408A"/>
    <w:rsid w:val="0007436B"/>
    <w:rsid w:val="00074884"/>
    <w:rsid w:val="00074A30"/>
    <w:rsid w:val="00075584"/>
    <w:rsid w:val="00075D20"/>
    <w:rsid w:val="00076EC4"/>
    <w:rsid w:val="00076F8F"/>
    <w:rsid w:val="00077EC8"/>
    <w:rsid w:val="000814C6"/>
    <w:rsid w:val="00081934"/>
    <w:rsid w:val="000823E6"/>
    <w:rsid w:val="0008262A"/>
    <w:rsid w:val="00085733"/>
    <w:rsid w:val="00085A5C"/>
    <w:rsid w:val="00085DAD"/>
    <w:rsid w:val="000864C5"/>
    <w:rsid w:val="00086952"/>
    <w:rsid w:val="00086CB0"/>
    <w:rsid w:val="0008798D"/>
    <w:rsid w:val="0009023C"/>
    <w:rsid w:val="00090B45"/>
    <w:rsid w:val="0009157A"/>
    <w:rsid w:val="00092629"/>
    <w:rsid w:val="00094B38"/>
    <w:rsid w:val="00094EF4"/>
    <w:rsid w:val="000953D4"/>
    <w:rsid w:val="00095554"/>
    <w:rsid w:val="00095EDF"/>
    <w:rsid w:val="000976C9"/>
    <w:rsid w:val="00097845"/>
    <w:rsid w:val="000A05A1"/>
    <w:rsid w:val="000A07C2"/>
    <w:rsid w:val="000A167A"/>
    <w:rsid w:val="000A5429"/>
    <w:rsid w:val="000A5434"/>
    <w:rsid w:val="000A5FA0"/>
    <w:rsid w:val="000A673D"/>
    <w:rsid w:val="000B077F"/>
    <w:rsid w:val="000B117D"/>
    <w:rsid w:val="000B11A7"/>
    <w:rsid w:val="000B1CB9"/>
    <w:rsid w:val="000B2F50"/>
    <w:rsid w:val="000B3B32"/>
    <w:rsid w:val="000B46F7"/>
    <w:rsid w:val="000B55A8"/>
    <w:rsid w:val="000B56C1"/>
    <w:rsid w:val="000B6F8C"/>
    <w:rsid w:val="000B765A"/>
    <w:rsid w:val="000C0A90"/>
    <w:rsid w:val="000C137B"/>
    <w:rsid w:val="000C18BD"/>
    <w:rsid w:val="000C1BBC"/>
    <w:rsid w:val="000C2A21"/>
    <w:rsid w:val="000C3B45"/>
    <w:rsid w:val="000C3D30"/>
    <w:rsid w:val="000C50E1"/>
    <w:rsid w:val="000C5285"/>
    <w:rsid w:val="000C5BF6"/>
    <w:rsid w:val="000C74A9"/>
    <w:rsid w:val="000C7C48"/>
    <w:rsid w:val="000D00E5"/>
    <w:rsid w:val="000D169E"/>
    <w:rsid w:val="000D17A0"/>
    <w:rsid w:val="000D2FDE"/>
    <w:rsid w:val="000D336C"/>
    <w:rsid w:val="000D3895"/>
    <w:rsid w:val="000D3B91"/>
    <w:rsid w:val="000D4592"/>
    <w:rsid w:val="000D4A70"/>
    <w:rsid w:val="000D4AB6"/>
    <w:rsid w:val="000D4FF5"/>
    <w:rsid w:val="000D5A97"/>
    <w:rsid w:val="000D7925"/>
    <w:rsid w:val="000E225B"/>
    <w:rsid w:val="000E25AE"/>
    <w:rsid w:val="000E269B"/>
    <w:rsid w:val="000E2A1F"/>
    <w:rsid w:val="000E2F01"/>
    <w:rsid w:val="000E312D"/>
    <w:rsid w:val="000E337F"/>
    <w:rsid w:val="000E3695"/>
    <w:rsid w:val="000E3A69"/>
    <w:rsid w:val="000E3E33"/>
    <w:rsid w:val="000E5857"/>
    <w:rsid w:val="000E641E"/>
    <w:rsid w:val="000E6E00"/>
    <w:rsid w:val="000E710F"/>
    <w:rsid w:val="000E74CF"/>
    <w:rsid w:val="000E7882"/>
    <w:rsid w:val="000E78C3"/>
    <w:rsid w:val="000F0B40"/>
    <w:rsid w:val="000F10A9"/>
    <w:rsid w:val="000F13F2"/>
    <w:rsid w:val="000F1AE1"/>
    <w:rsid w:val="000F1D83"/>
    <w:rsid w:val="000F23A8"/>
    <w:rsid w:val="000F46A7"/>
    <w:rsid w:val="000F47C6"/>
    <w:rsid w:val="000F5CCF"/>
    <w:rsid w:val="000F7843"/>
    <w:rsid w:val="000F7F2E"/>
    <w:rsid w:val="001000BB"/>
    <w:rsid w:val="00101B79"/>
    <w:rsid w:val="00101EF8"/>
    <w:rsid w:val="0010302E"/>
    <w:rsid w:val="00103BFC"/>
    <w:rsid w:val="00103FC3"/>
    <w:rsid w:val="00104119"/>
    <w:rsid w:val="00104DE7"/>
    <w:rsid w:val="00106444"/>
    <w:rsid w:val="0010648E"/>
    <w:rsid w:val="001066B9"/>
    <w:rsid w:val="00106DFF"/>
    <w:rsid w:val="001072D8"/>
    <w:rsid w:val="00111026"/>
    <w:rsid w:val="001116C9"/>
    <w:rsid w:val="001126B2"/>
    <w:rsid w:val="001128BF"/>
    <w:rsid w:val="0011302F"/>
    <w:rsid w:val="0011349D"/>
    <w:rsid w:val="0011409E"/>
    <w:rsid w:val="00115A70"/>
    <w:rsid w:val="001163E4"/>
    <w:rsid w:val="001164C7"/>
    <w:rsid w:val="001171BA"/>
    <w:rsid w:val="0011794E"/>
    <w:rsid w:val="00117A46"/>
    <w:rsid w:val="00117B16"/>
    <w:rsid w:val="00120AD7"/>
    <w:rsid w:val="00121187"/>
    <w:rsid w:val="00122241"/>
    <w:rsid w:val="0012370E"/>
    <w:rsid w:val="0012500B"/>
    <w:rsid w:val="001256FE"/>
    <w:rsid w:val="0012584A"/>
    <w:rsid w:val="001261E4"/>
    <w:rsid w:val="00126D22"/>
    <w:rsid w:val="00127477"/>
    <w:rsid w:val="00127A4F"/>
    <w:rsid w:val="00130428"/>
    <w:rsid w:val="001313C1"/>
    <w:rsid w:val="0013181E"/>
    <w:rsid w:val="00132A68"/>
    <w:rsid w:val="00132D3E"/>
    <w:rsid w:val="00133338"/>
    <w:rsid w:val="00133CD3"/>
    <w:rsid w:val="00134776"/>
    <w:rsid w:val="0013479D"/>
    <w:rsid w:val="00134CE9"/>
    <w:rsid w:val="00134D6D"/>
    <w:rsid w:val="00134EC1"/>
    <w:rsid w:val="0013510A"/>
    <w:rsid w:val="00136E72"/>
    <w:rsid w:val="00136F92"/>
    <w:rsid w:val="001370DB"/>
    <w:rsid w:val="001400FA"/>
    <w:rsid w:val="0014034E"/>
    <w:rsid w:val="0014052C"/>
    <w:rsid w:val="00142F9A"/>
    <w:rsid w:val="0014372E"/>
    <w:rsid w:val="00143C68"/>
    <w:rsid w:val="001441F6"/>
    <w:rsid w:val="001446AA"/>
    <w:rsid w:val="00145DBA"/>
    <w:rsid w:val="00146476"/>
    <w:rsid w:val="0014688F"/>
    <w:rsid w:val="00147347"/>
    <w:rsid w:val="0014795B"/>
    <w:rsid w:val="00150250"/>
    <w:rsid w:val="00151283"/>
    <w:rsid w:val="00151DF6"/>
    <w:rsid w:val="0015322A"/>
    <w:rsid w:val="0015352E"/>
    <w:rsid w:val="00153615"/>
    <w:rsid w:val="00154BA6"/>
    <w:rsid w:val="00157E98"/>
    <w:rsid w:val="001606DC"/>
    <w:rsid w:val="00160DD8"/>
    <w:rsid w:val="0016171C"/>
    <w:rsid w:val="00161871"/>
    <w:rsid w:val="00161E8A"/>
    <w:rsid w:val="00162D80"/>
    <w:rsid w:val="00163C3C"/>
    <w:rsid w:val="001645AB"/>
    <w:rsid w:val="0016491C"/>
    <w:rsid w:val="001653AD"/>
    <w:rsid w:val="001656BA"/>
    <w:rsid w:val="00165AF8"/>
    <w:rsid w:val="00166879"/>
    <w:rsid w:val="001669E1"/>
    <w:rsid w:val="00166C1A"/>
    <w:rsid w:val="001672C7"/>
    <w:rsid w:val="001703B9"/>
    <w:rsid w:val="001704C3"/>
    <w:rsid w:val="0017221D"/>
    <w:rsid w:val="00172786"/>
    <w:rsid w:val="001730E3"/>
    <w:rsid w:val="00173AB4"/>
    <w:rsid w:val="00174850"/>
    <w:rsid w:val="00174D0D"/>
    <w:rsid w:val="00174DCC"/>
    <w:rsid w:val="001764EF"/>
    <w:rsid w:val="00177045"/>
    <w:rsid w:val="00177745"/>
    <w:rsid w:val="00180ABA"/>
    <w:rsid w:val="00180E0E"/>
    <w:rsid w:val="00182F00"/>
    <w:rsid w:val="00184FDD"/>
    <w:rsid w:val="001852E3"/>
    <w:rsid w:val="0018589F"/>
    <w:rsid w:val="00185C00"/>
    <w:rsid w:val="00186383"/>
    <w:rsid w:val="001865F4"/>
    <w:rsid w:val="00186B7E"/>
    <w:rsid w:val="0018755F"/>
    <w:rsid w:val="00187A6D"/>
    <w:rsid w:val="00191172"/>
    <w:rsid w:val="00191431"/>
    <w:rsid w:val="00191A6D"/>
    <w:rsid w:val="00192BB0"/>
    <w:rsid w:val="00194386"/>
    <w:rsid w:val="00196162"/>
    <w:rsid w:val="00196584"/>
    <w:rsid w:val="00196649"/>
    <w:rsid w:val="001969C5"/>
    <w:rsid w:val="00196B76"/>
    <w:rsid w:val="0019709D"/>
    <w:rsid w:val="0019781A"/>
    <w:rsid w:val="001979C0"/>
    <w:rsid w:val="001A03AB"/>
    <w:rsid w:val="001A2F52"/>
    <w:rsid w:val="001A392E"/>
    <w:rsid w:val="001A3CD8"/>
    <w:rsid w:val="001A3FC7"/>
    <w:rsid w:val="001A45C7"/>
    <w:rsid w:val="001A4ED6"/>
    <w:rsid w:val="001A5D82"/>
    <w:rsid w:val="001A653D"/>
    <w:rsid w:val="001B17DB"/>
    <w:rsid w:val="001B1A13"/>
    <w:rsid w:val="001B2721"/>
    <w:rsid w:val="001B41E1"/>
    <w:rsid w:val="001B4B6D"/>
    <w:rsid w:val="001B6798"/>
    <w:rsid w:val="001B7BA2"/>
    <w:rsid w:val="001B7E13"/>
    <w:rsid w:val="001C0CCC"/>
    <w:rsid w:val="001C0FD9"/>
    <w:rsid w:val="001C18C0"/>
    <w:rsid w:val="001C1A20"/>
    <w:rsid w:val="001C1CFE"/>
    <w:rsid w:val="001C2B77"/>
    <w:rsid w:val="001C2C86"/>
    <w:rsid w:val="001C397C"/>
    <w:rsid w:val="001C5A49"/>
    <w:rsid w:val="001D08B9"/>
    <w:rsid w:val="001D22FB"/>
    <w:rsid w:val="001D3316"/>
    <w:rsid w:val="001D38A2"/>
    <w:rsid w:val="001D44C7"/>
    <w:rsid w:val="001D5038"/>
    <w:rsid w:val="001D5416"/>
    <w:rsid w:val="001D65DE"/>
    <w:rsid w:val="001D7066"/>
    <w:rsid w:val="001D75D7"/>
    <w:rsid w:val="001E2635"/>
    <w:rsid w:val="001E2AD5"/>
    <w:rsid w:val="001E4987"/>
    <w:rsid w:val="001F0526"/>
    <w:rsid w:val="001F08D4"/>
    <w:rsid w:val="001F0C0C"/>
    <w:rsid w:val="001F1C8A"/>
    <w:rsid w:val="001F2991"/>
    <w:rsid w:val="001F2EFC"/>
    <w:rsid w:val="001F42FB"/>
    <w:rsid w:val="001F460A"/>
    <w:rsid w:val="001F4634"/>
    <w:rsid w:val="001F4E76"/>
    <w:rsid w:val="001F5AA5"/>
    <w:rsid w:val="001F73DD"/>
    <w:rsid w:val="0020056D"/>
    <w:rsid w:val="00200980"/>
    <w:rsid w:val="002012AD"/>
    <w:rsid w:val="00201921"/>
    <w:rsid w:val="00201ACC"/>
    <w:rsid w:val="00201F75"/>
    <w:rsid w:val="00204AD1"/>
    <w:rsid w:val="00204D7A"/>
    <w:rsid w:val="0020508E"/>
    <w:rsid w:val="00205F6E"/>
    <w:rsid w:val="002065A5"/>
    <w:rsid w:val="00207C64"/>
    <w:rsid w:val="002101CD"/>
    <w:rsid w:val="002106D1"/>
    <w:rsid w:val="00211BCD"/>
    <w:rsid w:val="00212347"/>
    <w:rsid w:val="00213F4D"/>
    <w:rsid w:val="00214D3E"/>
    <w:rsid w:val="00214D79"/>
    <w:rsid w:val="0021533B"/>
    <w:rsid w:val="00215AB8"/>
    <w:rsid w:val="00215C53"/>
    <w:rsid w:val="0021682E"/>
    <w:rsid w:val="00217501"/>
    <w:rsid w:val="002211B9"/>
    <w:rsid w:val="00221F50"/>
    <w:rsid w:val="00223E79"/>
    <w:rsid w:val="00224709"/>
    <w:rsid w:val="00226257"/>
    <w:rsid w:val="002262E1"/>
    <w:rsid w:val="00226F1E"/>
    <w:rsid w:val="00227510"/>
    <w:rsid w:val="00227A56"/>
    <w:rsid w:val="00227D4F"/>
    <w:rsid w:val="002312F4"/>
    <w:rsid w:val="00231ADE"/>
    <w:rsid w:val="002326CD"/>
    <w:rsid w:val="00232F1A"/>
    <w:rsid w:val="00233788"/>
    <w:rsid w:val="0023588B"/>
    <w:rsid w:val="00235CC6"/>
    <w:rsid w:val="002365E3"/>
    <w:rsid w:val="0023665A"/>
    <w:rsid w:val="0024016D"/>
    <w:rsid w:val="00240387"/>
    <w:rsid w:val="00240EA5"/>
    <w:rsid w:val="0024150B"/>
    <w:rsid w:val="002416D0"/>
    <w:rsid w:val="00241DFB"/>
    <w:rsid w:val="002431E5"/>
    <w:rsid w:val="002442FF"/>
    <w:rsid w:val="00244370"/>
    <w:rsid w:val="00244BCB"/>
    <w:rsid w:val="00245892"/>
    <w:rsid w:val="002467EC"/>
    <w:rsid w:val="002477F0"/>
    <w:rsid w:val="002479FE"/>
    <w:rsid w:val="00247D03"/>
    <w:rsid w:val="002510B6"/>
    <w:rsid w:val="00251331"/>
    <w:rsid w:val="00251829"/>
    <w:rsid w:val="002519D6"/>
    <w:rsid w:val="00252A58"/>
    <w:rsid w:val="00252B04"/>
    <w:rsid w:val="0025327C"/>
    <w:rsid w:val="0025378D"/>
    <w:rsid w:val="00253C7B"/>
    <w:rsid w:val="00254806"/>
    <w:rsid w:val="00254D78"/>
    <w:rsid w:val="00254DDF"/>
    <w:rsid w:val="00256463"/>
    <w:rsid w:val="002564F6"/>
    <w:rsid w:val="00256C2E"/>
    <w:rsid w:val="002601D8"/>
    <w:rsid w:val="002602C0"/>
    <w:rsid w:val="00260EC3"/>
    <w:rsid w:val="00261F48"/>
    <w:rsid w:val="002628CC"/>
    <w:rsid w:val="00262F51"/>
    <w:rsid w:val="0026421D"/>
    <w:rsid w:val="00264CE9"/>
    <w:rsid w:val="002653EB"/>
    <w:rsid w:val="002664A2"/>
    <w:rsid w:val="0026682A"/>
    <w:rsid w:val="00270A2F"/>
    <w:rsid w:val="0027155A"/>
    <w:rsid w:val="0027196B"/>
    <w:rsid w:val="0027197B"/>
    <w:rsid w:val="00271EBF"/>
    <w:rsid w:val="00273C4A"/>
    <w:rsid w:val="00275945"/>
    <w:rsid w:val="00275D18"/>
    <w:rsid w:val="00275E21"/>
    <w:rsid w:val="00276CD0"/>
    <w:rsid w:val="00280340"/>
    <w:rsid w:val="0028051C"/>
    <w:rsid w:val="00280FBC"/>
    <w:rsid w:val="002831F9"/>
    <w:rsid w:val="00283601"/>
    <w:rsid w:val="00286A6D"/>
    <w:rsid w:val="00286AD5"/>
    <w:rsid w:val="00290787"/>
    <w:rsid w:val="002908BC"/>
    <w:rsid w:val="002910DC"/>
    <w:rsid w:val="00291C53"/>
    <w:rsid w:val="00292BB5"/>
    <w:rsid w:val="002930F5"/>
    <w:rsid w:val="00293A8D"/>
    <w:rsid w:val="00293BC7"/>
    <w:rsid w:val="002943AC"/>
    <w:rsid w:val="002954C5"/>
    <w:rsid w:val="00296557"/>
    <w:rsid w:val="00296C72"/>
    <w:rsid w:val="00297C25"/>
    <w:rsid w:val="002A0336"/>
    <w:rsid w:val="002A04C3"/>
    <w:rsid w:val="002A0E11"/>
    <w:rsid w:val="002A1457"/>
    <w:rsid w:val="002A3A33"/>
    <w:rsid w:val="002A4149"/>
    <w:rsid w:val="002A6985"/>
    <w:rsid w:val="002A6A82"/>
    <w:rsid w:val="002A6BAC"/>
    <w:rsid w:val="002A7299"/>
    <w:rsid w:val="002A79FD"/>
    <w:rsid w:val="002B204A"/>
    <w:rsid w:val="002B2389"/>
    <w:rsid w:val="002B25D6"/>
    <w:rsid w:val="002B2EEE"/>
    <w:rsid w:val="002B4CDC"/>
    <w:rsid w:val="002B5784"/>
    <w:rsid w:val="002B7E25"/>
    <w:rsid w:val="002C01DE"/>
    <w:rsid w:val="002C0527"/>
    <w:rsid w:val="002C05F2"/>
    <w:rsid w:val="002C0B38"/>
    <w:rsid w:val="002C335C"/>
    <w:rsid w:val="002C39F8"/>
    <w:rsid w:val="002C3C34"/>
    <w:rsid w:val="002C4676"/>
    <w:rsid w:val="002C4A43"/>
    <w:rsid w:val="002C4A66"/>
    <w:rsid w:val="002C5AE9"/>
    <w:rsid w:val="002D0241"/>
    <w:rsid w:val="002D095D"/>
    <w:rsid w:val="002D1840"/>
    <w:rsid w:val="002D1842"/>
    <w:rsid w:val="002D39E4"/>
    <w:rsid w:val="002D3EF1"/>
    <w:rsid w:val="002D4496"/>
    <w:rsid w:val="002D46DF"/>
    <w:rsid w:val="002D54AC"/>
    <w:rsid w:val="002D583C"/>
    <w:rsid w:val="002D6BC7"/>
    <w:rsid w:val="002D72EA"/>
    <w:rsid w:val="002E27EC"/>
    <w:rsid w:val="002E3348"/>
    <w:rsid w:val="002E39C1"/>
    <w:rsid w:val="002E3A7D"/>
    <w:rsid w:val="002E3E47"/>
    <w:rsid w:val="002E53C7"/>
    <w:rsid w:val="002E5EC0"/>
    <w:rsid w:val="002E6BA8"/>
    <w:rsid w:val="002E78EA"/>
    <w:rsid w:val="002F0DD4"/>
    <w:rsid w:val="002F0FF1"/>
    <w:rsid w:val="002F15C1"/>
    <w:rsid w:val="002F2FF8"/>
    <w:rsid w:val="002F3A73"/>
    <w:rsid w:val="002F5D04"/>
    <w:rsid w:val="002F5E76"/>
    <w:rsid w:val="003012A4"/>
    <w:rsid w:val="00301679"/>
    <w:rsid w:val="00301949"/>
    <w:rsid w:val="00301BA8"/>
    <w:rsid w:val="00301DD5"/>
    <w:rsid w:val="003024FD"/>
    <w:rsid w:val="003027C3"/>
    <w:rsid w:val="003028F0"/>
    <w:rsid w:val="0030481B"/>
    <w:rsid w:val="003054BC"/>
    <w:rsid w:val="00305831"/>
    <w:rsid w:val="00305A4E"/>
    <w:rsid w:val="00305D29"/>
    <w:rsid w:val="00305D57"/>
    <w:rsid w:val="003068A4"/>
    <w:rsid w:val="00306971"/>
    <w:rsid w:val="003103DE"/>
    <w:rsid w:val="00310892"/>
    <w:rsid w:val="00311867"/>
    <w:rsid w:val="003119C5"/>
    <w:rsid w:val="00312A89"/>
    <w:rsid w:val="00312C50"/>
    <w:rsid w:val="00313180"/>
    <w:rsid w:val="00313CCD"/>
    <w:rsid w:val="0031442E"/>
    <w:rsid w:val="00314762"/>
    <w:rsid w:val="003148FB"/>
    <w:rsid w:val="00314CFF"/>
    <w:rsid w:val="00315726"/>
    <w:rsid w:val="00315E58"/>
    <w:rsid w:val="00316ED3"/>
    <w:rsid w:val="00316F31"/>
    <w:rsid w:val="00321682"/>
    <w:rsid w:val="00321AD3"/>
    <w:rsid w:val="00323353"/>
    <w:rsid w:val="003238A5"/>
    <w:rsid w:val="00324EDB"/>
    <w:rsid w:val="0032568B"/>
    <w:rsid w:val="00325CA5"/>
    <w:rsid w:val="00332B06"/>
    <w:rsid w:val="00333AC4"/>
    <w:rsid w:val="00334591"/>
    <w:rsid w:val="00334764"/>
    <w:rsid w:val="00334936"/>
    <w:rsid w:val="00335152"/>
    <w:rsid w:val="00335316"/>
    <w:rsid w:val="00335591"/>
    <w:rsid w:val="003355B9"/>
    <w:rsid w:val="003358E5"/>
    <w:rsid w:val="00335BAA"/>
    <w:rsid w:val="003360D4"/>
    <w:rsid w:val="00336190"/>
    <w:rsid w:val="00340933"/>
    <w:rsid w:val="00341943"/>
    <w:rsid w:val="00341CD0"/>
    <w:rsid w:val="00342C92"/>
    <w:rsid w:val="00342FC2"/>
    <w:rsid w:val="00343B00"/>
    <w:rsid w:val="00343ECF"/>
    <w:rsid w:val="00343F11"/>
    <w:rsid w:val="003457C6"/>
    <w:rsid w:val="0034689A"/>
    <w:rsid w:val="00346D05"/>
    <w:rsid w:val="00347409"/>
    <w:rsid w:val="00347859"/>
    <w:rsid w:val="00347DF1"/>
    <w:rsid w:val="0035076E"/>
    <w:rsid w:val="00350D3D"/>
    <w:rsid w:val="00350E04"/>
    <w:rsid w:val="00351DE4"/>
    <w:rsid w:val="0035259B"/>
    <w:rsid w:val="00357BAB"/>
    <w:rsid w:val="00360EEA"/>
    <w:rsid w:val="003617DE"/>
    <w:rsid w:val="00361D2F"/>
    <w:rsid w:val="00361E50"/>
    <w:rsid w:val="00362C41"/>
    <w:rsid w:val="00362CBB"/>
    <w:rsid w:val="0036329B"/>
    <w:rsid w:val="0036342B"/>
    <w:rsid w:val="00365A69"/>
    <w:rsid w:val="003662D6"/>
    <w:rsid w:val="00366304"/>
    <w:rsid w:val="00366859"/>
    <w:rsid w:val="003674D6"/>
    <w:rsid w:val="00367BFE"/>
    <w:rsid w:val="00370271"/>
    <w:rsid w:val="00370B26"/>
    <w:rsid w:val="003718BC"/>
    <w:rsid w:val="00371FE5"/>
    <w:rsid w:val="00372C1F"/>
    <w:rsid w:val="00373363"/>
    <w:rsid w:val="00374BF2"/>
    <w:rsid w:val="003756A0"/>
    <w:rsid w:val="00376203"/>
    <w:rsid w:val="003772C4"/>
    <w:rsid w:val="003774BA"/>
    <w:rsid w:val="00380676"/>
    <w:rsid w:val="0038479B"/>
    <w:rsid w:val="00384A47"/>
    <w:rsid w:val="00384E2F"/>
    <w:rsid w:val="0038516D"/>
    <w:rsid w:val="00387E68"/>
    <w:rsid w:val="00391075"/>
    <w:rsid w:val="00393B4A"/>
    <w:rsid w:val="00393C14"/>
    <w:rsid w:val="00396169"/>
    <w:rsid w:val="003969AA"/>
    <w:rsid w:val="00397837"/>
    <w:rsid w:val="00397B5D"/>
    <w:rsid w:val="003A08D2"/>
    <w:rsid w:val="003A1668"/>
    <w:rsid w:val="003A2077"/>
    <w:rsid w:val="003A24E4"/>
    <w:rsid w:val="003A2927"/>
    <w:rsid w:val="003A4760"/>
    <w:rsid w:val="003A492E"/>
    <w:rsid w:val="003A49C1"/>
    <w:rsid w:val="003A56BD"/>
    <w:rsid w:val="003B01DE"/>
    <w:rsid w:val="003B13AA"/>
    <w:rsid w:val="003B3785"/>
    <w:rsid w:val="003B3D0D"/>
    <w:rsid w:val="003B3E10"/>
    <w:rsid w:val="003B40C9"/>
    <w:rsid w:val="003B4C5C"/>
    <w:rsid w:val="003B532F"/>
    <w:rsid w:val="003B5E9B"/>
    <w:rsid w:val="003B5ECE"/>
    <w:rsid w:val="003B5FDB"/>
    <w:rsid w:val="003B650D"/>
    <w:rsid w:val="003B6D86"/>
    <w:rsid w:val="003B6E5D"/>
    <w:rsid w:val="003B7710"/>
    <w:rsid w:val="003C061A"/>
    <w:rsid w:val="003C19FD"/>
    <w:rsid w:val="003C1E79"/>
    <w:rsid w:val="003C1F08"/>
    <w:rsid w:val="003C20C2"/>
    <w:rsid w:val="003C2C8F"/>
    <w:rsid w:val="003C3515"/>
    <w:rsid w:val="003C370E"/>
    <w:rsid w:val="003C39A6"/>
    <w:rsid w:val="003C3B6D"/>
    <w:rsid w:val="003C4054"/>
    <w:rsid w:val="003C4636"/>
    <w:rsid w:val="003C5284"/>
    <w:rsid w:val="003C68E2"/>
    <w:rsid w:val="003C721F"/>
    <w:rsid w:val="003D0CF0"/>
    <w:rsid w:val="003D1673"/>
    <w:rsid w:val="003D1C9E"/>
    <w:rsid w:val="003D1FE4"/>
    <w:rsid w:val="003D23D0"/>
    <w:rsid w:val="003D2A05"/>
    <w:rsid w:val="003D3691"/>
    <w:rsid w:val="003D3838"/>
    <w:rsid w:val="003D4A2F"/>
    <w:rsid w:val="003D5817"/>
    <w:rsid w:val="003D640A"/>
    <w:rsid w:val="003D670C"/>
    <w:rsid w:val="003D6B4A"/>
    <w:rsid w:val="003D75C8"/>
    <w:rsid w:val="003E072C"/>
    <w:rsid w:val="003E099D"/>
    <w:rsid w:val="003E2A50"/>
    <w:rsid w:val="003E34E4"/>
    <w:rsid w:val="003E3A13"/>
    <w:rsid w:val="003E4D9B"/>
    <w:rsid w:val="003E4DB3"/>
    <w:rsid w:val="003E609E"/>
    <w:rsid w:val="003E68A5"/>
    <w:rsid w:val="003E69D9"/>
    <w:rsid w:val="003E79B6"/>
    <w:rsid w:val="003E7CB4"/>
    <w:rsid w:val="003F0963"/>
    <w:rsid w:val="003F0A3D"/>
    <w:rsid w:val="003F1AC8"/>
    <w:rsid w:val="003F2935"/>
    <w:rsid w:val="003F40C4"/>
    <w:rsid w:val="003F4D83"/>
    <w:rsid w:val="003F5FB7"/>
    <w:rsid w:val="003F6069"/>
    <w:rsid w:val="003F6329"/>
    <w:rsid w:val="003F63F7"/>
    <w:rsid w:val="003F74B1"/>
    <w:rsid w:val="003F7C82"/>
    <w:rsid w:val="0040139E"/>
    <w:rsid w:val="00402CF5"/>
    <w:rsid w:val="00403121"/>
    <w:rsid w:val="00403E07"/>
    <w:rsid w:val="00404781"/>
    <w:rsid w:val="0040532D"/>
    <w:rsid w:val="00407565"/>
    <w:rsid w:val="00410880"/>
    <w:rsid w:val="00410E98"/>
    <w:rsid w:val="00411296"/>
    <w:rsid w:val="00411BA3"/>
    <w:rsid w:val="00411ECB"/>
    <w:rsid w:val="00412658"/>
    <w:rsid w:val="00412D06"/>
    <w:rsid w:val="00414378"/>
    <w:rsid w:val="00415428"/>
    <w:rsid w:val="00415B13"/>
    <w:rsid w:val="00417874"/>
    <w:rsid w:val="00417B46"/>
    <w:rsid w:val="0042096D"/>
    <w:rsid w:val="00421D92"/>
    <w:rsid w:val="0042235C"/>
    <w:rsid w:val="00423881"/>
    <w:rsid w:val="00423EF2"/>
    <w:rsid w:val="0042436B"/>
    <w:rsid w:val="004254B1"/>
    <w:rsid w:val="0042634F"/>
    <w:rsid w:val="004270BE"/>
    <w:rsid w:val="00427903"/>
    <w:rsid w:val="00430212"/>
    <w:rsid w:val="004311C2"/>
    <w:rsid w:val="004316DC"/>
    <w:rsid w:val="004318AF"/>
    <w:rsid w:val="00432AC9"/>
    <w:rsid w:val="004330D2"/>
    <w:rsid w:val="00434ED1"/>
    <w:rsid w:val="00435D0F"/>
    <w:rsid w:val="00435FFD"/>
    <w:rsid w:val="00436003"/>
    <w:rsid w:val="004364FB"/>
    <w:rsid w:val="00437A45"/>
    <w:rsid w:val="004407FE"/>
    <w:rsid w:val="004409B5"/>
    <w:rsid w:val="004411E8"/>
    <w:rsid w:val="004419D3"/>
    <w:rsid w:val="00441C90"/>
    <w:rsid w:val="0044337B"/>
    <w:rsid w:val="004474F9"/>
    <w:rsid w:val="00447AF6"/>
    <w:rsid w:val="00447C75"/>
    <w:rsid w:val="004508C5"/>
    <w:rsid w:val="0045117E"/>
    <w:rsid w:val="004511A4"/>
    <w:rsid w:val="00451FE6"/>
    <w:rsid w:val="00452A8A"/>
    <w:rsid w:val="0045505C"/>
    <w:rsid w:val="004553AD"/>
    <w:rsid w:val="00460B75"/>
    <w:rsid w:val="00460D7D"/>
    <w:rsid w:val="00462111"/>
    <w:rsid w:val="00462C97"/>
    <w:rsid w:val="00462E86"/>
    <w:rsid w:val="00463688"/>
    <w:rsid w:val="00464D75"/>
    <w:rsid w:val="00465318"/>
    <w:rsid w:val="00465965"/>
    <w:rsid w:val="00466610"/>
    <w:rsid w:val="00467125"/>
    <w:rsid w:val="004675AC"/>
    <w:rsid w:val="00467A44"/>
    <w:rsid w:val="00471C33"/>
    <w:rsid w:val="004729EB"/>
    <w:rsid w:val="00473149"/>
    <w:rsid w:val="00473D45"/>
    <w:rsid w:val="004749B1"/>
    <w:rsid w:val="004750E0"/>
    <w:rsid w:val="004761FA"/>
    <w:rsid w:val="00477B2D"/>
    <w:rsid w:val="00477BCA"/>
    <w:rsid w:val="00480A5F"/>
    <w:rsid w:val="00480AD2"/>
    <w:rsid w:val="004819E3"/>
    <w:rsid w:val="00481F4A"/>
    <w:rsid w:val="0048298E"/>
    <w:rsid w:val="00483263"/>
    <w:rsid w:val="00484E21"/>
    <w:rsid w:val="00485A60"/>
    <w:rsid w:val="00486EEF"/>
    <w:rsid w:val="00490E86"/>
    <w:rsid w:val="00491633"/>
    <w:rsid w:val="00491841"/>
    <w:rsid w:val="00491992"/>
    <w:rsid w:val="004932DF"/>
    <w:rsid w:val="00493CF8"/>
    <w:rsid w:val="00493E16"/>
    <w:rsid w:val="00493E5E"/>
    <w:rsid w:val="00494548"/>
    <w:rsid w:val="00494BB5"/>
    <w:rsid w:val="00495D84"/>
    <w:rsid w:val="004963DF"/>
    <w:rsid w:val="00496F53"/>
    <w:rsid w:val="004A2C47"/>
    <w:rsid w:val="004A3B96"/>
    <w:rsid w:val="004A42B9"/>
    <w:rsid w:val="004A4BC4"/>
    <w:rsid w:val="004A65D6"/>
    <w:rsid w:val="004A7494"/>
    <w:rsid w:val="004A76FC"/>
    <w:rsid w:val="004B09E6"/>
    <w:rsid w:val="004B1C79"/>
    <w:rsid w:val="004B1F75"/>
    <w:rsid w:val="004B1F9C"/>
    <w:rsid w:val="004B2D20"/>
    <w:rsid w:val="004B3948"/>
    <w:rsid w:val="004B438F"/>
    <w:rsid w:val="004B5B64"/>
    <w:rsid w:val="004B5BE6"/>
    <w:rsid w:val="004B5E5E"/>
    <w:rsid w:val="004B6905"/>
    <w:rsid w:val="004B78E9"/>
    <w:rsid w:val="004C0DF9"/>
    <w:rsid w:val="004C0E61"/>
    <w:rsid w:val="004C1E31"/>
    <w:rsid w:val="004C208F"/>
    <w:rsid w:val="004C3100"/>
    <w:rsid w:val="004C36BE"/>
    <w:rsid w:val="004C3E00"/>
    <w:rsid w:val="004C45B6"/>
    <w:rsid w:val="004C4693"/>
    <w:rsid w:val="004C4CAF"/>
    <w:rsid w:val="004C5182"/>
    <w:rsid w:val="004C6260"/>
    <w:rsid w:val="004C649D"/>
    <w:rsid w:val="004C6529"/>
    <w:rsid w:val="004C6F3A"/>
    <w:rsid w:val="004C6F58"/>
    <w:rsid w:val="004C6FB7"/>
    <w:rsid w:val="004C727B"/>
    <w:rsid w:val="004C72C5"/>
    <w:rsid w:val="004C7A59"/>
    <w:rsid w:val="004D0B50"/>
    <w:rsid w:val="004D0F43"/>
    <w:rsid w:val="004D1451"/>
    <w:rsid w:val="004D1B07"/>
    <w:rsid w:val="004D20FE"/>
    <w:rsid w:val="004D36F0"/>
    <w:rsid w:val="004D3828"/>
    <w:rsid w:val="004D444D"/>
    <w:rsid w:val="004D44A0"/>
    <w:rsid w:val="004D44CE"/>
    <w:rsid w:val="004D46F4"/>
    <w:rsid w:val="004D614D"/>
    <w:rsid w:val="004D673D"/>
    <w:rsid w:val="004D73EA"/>
    <w:rsid w:val="004D7A46"/>
    <w:rsid w:val="004D7AFC"/>
    <w:rsid w:val="004E011A"/>
    <w:rsid w:val="004E02D6"/>
    <w:rsid w:val="004E309A"/>
    <w:rsid w:val="004E4585"/>
    <w:rsid w:val="004F00DF"/>
    <w:rsid w:val="004F0AA1"/>
    <w:rsid w:val="004F131B"/>
    <w:rsid w:val="004F1A51"/>
    <w:rsid w:val="004F3F5E"/>
    <w:rsid w:val="004F3F66"/>
    <w:rsid w:val="004F425C"/>
    <w:rsid w:val="004F4A84"/>
    <w:rsid w:val="004F4B21"/>
    <w:rsid w:val="004F5BA1"/>
    <w:rsid w:val="004F65E2"/>
    <w:rsid w:val="004F6C43"/>
    <w:rsid w:val="004F76EB"/>
    <w:rsid w:val="004F7936"/>
    <w:rsid w:val="005003D6"/>
    <w:rsid w:val="005015A2"/>
    <w:rsid w:val="00503496"/>
    <w:rsid w:val="00503931"/>
    <w:rsid w:val="00504AC9"/>
    <w:rsid w:val="00504E24"/>
    <w:rsid w:val="00505375"/>
    <w:rsid w:val="0050537F"/>
    <w:rsid w:val="00505671"/>
    <w:rsid w:val="00506F86"/>
    <w:rsid w:val="00507540"/>
    <w:rsid w:val="005079EA"/>
    <w:rsid w:val="00507DF1"/>
    <w:rsid w:val="0051035C"/>
    <w:rsid w:val="00510C41"/>
    <w:rsid w:val="005116CF"/>
    <w:rsid w:val="00511E64"/>
    <w:rsid w:val="0051249B"/>
    <w:rsid w:val="00513234"/>
    <w:rsid w:val="0051618D"/>
    <w:rsid w:val="005163B2"/>
    <w:rsid w:val="005170CA"/>
    <w:rsid w:val="00520558"/>
    <w:rsid w:val="00520CE3"/>
    <w:rsid w:val="00521957"/>
    <w:rsid w:val="005226E1"/>
    <w:rsid w:val="00523E4E"/>
    <w:rsid w:val="00524580"/>
    <w:rsid w:val="00525898"/>
    <w:rsid w:val="00526A20"/>
    <w:rsid w:val="00527110"/>
    <w:rsid w:val="00530E80"/>
    <w:rsid w:val="005310BC"/>
    <w:rsid w:val="00531406"/>
    <w:rsid w:val="00534FB2"/>
    <w:rsid w:val="00535FB2"/>
    <w:rsid w:val="00537839"/>
    <w:rsid w:val="005421C5"/>
    <w:rsid w:val="00544E75"/>
    <w:rsid w:val="00545162"/>
    <w:rsid w:val="00545542"/>
    <w:rsid w:val="00545F92"/>
    <w:rsid w:val="0054666B"/>
    <w:rsid w:val="005466F1"/>
    <w:rsid w:val="005473BD"/>
    <w:rsid w:val="00547C8A"/>
    <w:rsid w:val="00550056"/>
    <w:rsid w:val="00550271"/>
    <w:rsid w:val="0055079D"/>
    <w:rsid w:val="00550B4C"/>
    <w:rsid w:val="00551021"/>
    <w:rsid w:val="0055156F"/>
    <w:rsid w:val="00551E90"/>
    <w:rsid w:val="00552310"/>
    <w:rsid w:val="00552752"/>
    <w:rsid w:val="00553A50"/>
    <w:rsid w:val="00553BD8"/>
    <w:rsid w:val="005548CB"/>
    <w:rsid w:val="005561D2"/>
    <w:rsid w:val="00556A8B"/>
    <w:rsid w:val="0055732C"/>
    <w:rsid w:val="005573C0"/>
    <w:rsid w:val="00560301"/>
    <w:rsid w:val="005618C5"/>
    <w:rsid w:val="0056241F"/>
    <w:rsid w:val="0056439F"/>
    <w:rsid w:val="005648EA"/>
    <w:rsid w:val="00564BF7"/>
    <w:rsid w:val="005651D7"/>
    <w:rsid w:val="005660A5"/>
    <w:rsid w:val="00566806"/>
    <w:rsid w:val="0056700A"/>
    <w:rsid w:val="005707F4"/>
    <w:rsid w:val="00571792"/>
    <w:rsid w:val="005719A8"/>
    <w:rsid w:val="005722C1"/>
    <w:rsid w:val="00572803"/>
    <w:rsid w:val="0057358A"/>
    <w:rsid w:val="00574941"/>
    <w:rsid w:val="0057678E"/>
    <w:rsid w:val="00576970"/>
    <w:rsid w:val="0057729F"/>
    <w:rsid w:val="00577653"/>
    <w:rsid w:val="00580698"/>
    <w:rsid w:val="00581571"/>
    <w:rsid w:val="005817D5"/>
    <w:rsid w:val="00581C22"/>
    <w:rsid w:val="00583B3E"/>
    <w:rsid w:val="00583D08"/>
    <w:rsid w:val="00587661"/>
    <w:rsid w:val="0058791A"/>
    <w:rsid w:val="00591234"/>
    <w:rsid w:val="0059131B"/>
    <w:rsid w:val="00591378"/>
    <w:rsid w:val="005913A2"/>
    <w:rsid w:val="00591453"/>
    <w:rsid w:val="0059280E"/>
    <w:rsid w:val="00592DC1"/>
    <w:rsid w:val="00592EA1"/>
    <w:rsid w:val="00593BBB"/>
    <w:rsid w:val="005960AE"/>
    <w:rsid w:val="005972E9"/>
    <w:rsid w:val="00597505"/>
    <w:rsid w:val="005A0E1C"/>
    <w:rsid w:val="005A0FB8"/>
    <w:rsid w:val="005A1197"/>
    <w:rsid w:val="005A1611"/>
    <w:rsid w:val="005A16DB"/>
    <w:rsid w:val="005A1E56"/>
    <w:rsid w:val="005A25D8"/>
    <w:rsid w:val="005A2C4A"/>
    <w:rsid w:val="005A2FE6"/>
    <w:rsid w:val="005A44B2"/>
    <w:rsid w:val="005A54AD"/>
    <w:rsid w:val="005A5638"/>
    <w:rsid w:val="005A5B0F"/>
    <w:rsid w:val="005A6128"/>
    <w:rsid w:val="005A685B"/>
    <w:rsid w:val="005A7DD4"/>
    <w:rsid w:val="005B02F6"/>
    <w:rsid w:val="005B11A1"/>
    <w:rsid w:val="005B2460"/>
    <w:rsid w:val="005B2BF0"/>
    <w:rsid w:val="005B2F6B"/>
    <w:rsid w:val="005B30A8"/>
    <w:rsid w:val="005B35B3"/>
    <w:rsid w:val="005B36BB"/>
    <w:rsid w:val="005B4408"/>
    <w:rsid w:val="005B4622"/>
    <w:rsid w:val="005B4B1D"/>
    <w:rsid w:val="005B5706"/>
    <w:rsid w:val="005B5A2D"/>
    <w:rsid w:val="005B600A"/>
    <w:rsid w:val="005B7324"/>
    <w:rsid w:val="005B77CE"/>
    <w:rsid w:val="005C0500"/>
    <w:rsid w:val="005C097D"/>
    <w:rsid w:val="005C1004"/>
    <w:rsid w:val="005C1AC8"/>
    <w:rsid w:val="005C200C"/>
    <w:rsid w:val="005C24C0"/>
    <w:rsid w:val="005C29FA"/>
    <w:rsid w:val="005C2FE1"/>
    <w:rsid w:val="005C360F"/>
    <w:rsid w:val="005C3827"/>
    <w:rsid w:val="005C4441"/>
    <w:rsid w:val="005C4EE9"/>
    <w:rsid w:val="005C663E"/>
    <w:rsid w:val="005C7852"/>
    <w:rsid w:val="005D1005"/>
    <w:rsid w:val="005D141C"/>
    <w:rsid w:val="005D1BEB"/>
    <w:rsid w:val="005D1C27"/>
    <w:rsid w:val="005D2B13"/>
    <w:rsid w:val="005D3024"/>
    <w:rsid w:val="005D4090"/>
    <w:rsid w:val="005D5CC8"/>
    <w:rsid w:val="005D60A1"/>
    <w:rsid w:val="005D6179"/>
    <w:rsid w:val="005D6B60"/>
    <w:rsid w:val="005D6BFD"/>
    <w:rsid w:val="005D72DB"/>
    <w:rsid w:val="005D7A7E"/>
    <w:rsid w:val="005E0019"/>
    <w:rsid w:val="005E001F"/>
    <w:rsid w:val="005E0A70"/>
    <w:rsid w:val="005E20D2"/>
    <w:rsid w:val="005E31A4"/>
    <w:rsid w:val="005E3C2F"/>
    <w:rsid w:val="005E4533"/>
    <w:rsid w:val="005E4742"/>
    <w:rsid w:val="005E483B"/>
    <w:rsid w:val="005E6090"/>
    <w:rsid w:val="005E6976"/>
    <w:rsid w:val="005E6C9D"/>
    <w:rsid w:val="005F01A0"/>
    <w:rsid w:val="005F1851"/>
    <w:rsid w:val="005F2BB6"/>
    <w:rsid w:val="005F2FAD"/>
    <w:rsid w:val="005F36BB"/>
    <w:rsid w:val="005F4596"/>
    <w:rsid w:val="005F53EC"/>
    <w:rsid w:val="005F5567"/>
    <w:rsid w:val="005F57AF"/>
    <w:rsid w:val="005F5AFC"/>
    <w:rsid w:val="005F5B83"/>
    <w:rsid w:val="005F66A6"/>
    <w:rsid w:val="005F6B19"/>
    <w:rsid w:val="005F7AB5"/>
    <w:rsid w:val="005F7F02"/>
    <w:rsid w:val="006008CC"/>
    <w:rsid w:val="00600902"/>
    <w:rsid w:val="00601178"/>
    <w:rsid w:val="00602500"/>
    <w:rsid w:val="0060311B"/>
    <w:rsid w:val="00603272"/>
    <w:rsid w:val="006038AC"/>
    <w:rsid w:val="00603C98"/>
    <w:rsid w:val="00605128"/>
    <w:rsid w:val="00605BEB"/>
    <w:rsid w:val="00607046"/>
    <w:rsid w:val="00607342"/>
    <w:rsid w:val="00610309"/>
    <w:rsid w:val="0061048D"/>
    <w:rsid w:val="00610EF5"/>
    <w:rsid w:val="00611478"/>
    <w:rsid w:val="00611F45"/>
    <w:rsid w:val="0061399B"/>
    <w:rsid w:val="00615D0A"/>
    <w:rsid w:val="00616897"/>
    <w:rsid w:val="00617A04"/>
    <w:rsid w:val="006200EE"/>
    <w:rsid w:val="00622415"/>
    <w:rsid w:val="0062312F"/>
    <w:rsid w:val="006242E5"/>
    <w:rsid w:val="00624996"/>
    <w:rsid w:val="00625213"/>
    <w:rsid w:val="00625B57"/>
    <w:rsid w:val="00625CC5"/>
    <w:rsid w:val="006271A1"/>
    <w:rsid w:val="006277BA"/>
    <w:rsid w:val="00630383"/>
    <w:rsid w:val="00630E92"/>
    <w:rsid w:val="00631B0B"/>
    <w:rsid w:val="0063215E"/>
    <w:rsid w:val="006324A3"/>
    <w:rsid w:val="00632A3F"/>
    <w:rsid w:val="00632C79"/>
    <w:rsid w:val="00634991"/>
    <w:rsid w:val="00634CEE"/>
    <w:rsid w:val="00634FB5"/>
    <w:rsid w:val="0063562B"/>
    <w:rsid w:val="00636C87"/>
    <w:rsid w:val="006373D6"/>
    <w:rsid w:val="00637C17"/>
    <w:rsid w:val="00641706"/>
    <w:rsid w:val="00642290"/>
    <w:rsid w:val="0064271C"/>
    <w:rsid w:val="00642DC9"/>
    <w:rsid w:val="006432B6"/>
    <w:rsid w:val="00644025"/>
    <w:rsid w:val="006456C6"/>
    <w:rsid w:val="006458D9"/>
    <w:rsid w:val="0064595F"/>
    <w:rsid w:val="0064694F"/>
    <w:rsid w:val="006501EA"/>
    <w:rsid w:val="006511B9"/>
    <w:rsid w:val="0065311F"/>
    <w:rsid w:val="00654C3B"/>
    <w:rsid w:val="00655CF3"/>
    <w:rsid w:val="0065626C"/>
    <w:rsid w:val="0066199E"/>
    <w:rsid w:val="00662010"/>
    <w:rsid w:val="0066225D"/>
    <w:rsid w:val="00662F72"/>
    <w:rsid w:val="00663274"/>
    <w:rsid w:val="00663729"/>
    <w:rsid w:val="00663EC2"/>
    <w:rsid w:val="00663ED8"/>
    <w:rsid w:val="00664077"/>
    <w:rsid w:val="006644DC"/>
    <w:rsid w:val="00667631"/>
    <w:rsid w:val="006703AE"/>
    <w:rsid w:val="0067060F"/>
    <w:rsid w:val="006716A8"/>
    <w:rsid w:val="006738A6"/>
    <w:rsid w:val="00673AA4"/>
    <w:rsid w:val="00673F97"/>
    <w:rsid w:val="00674E8E"/>
    <w:rsid w:val="0067580B"/>
    <w:rsid w:val="006767CC"/>
    <w:rsid w:val="00676DFA"/>
    <w:rsid w:val="00680420"/>
    <w:rsid w:val="00680BED"/>
    <w:rsid w:val="00681516"/>
    <w:rsid w:val="006819CA"/>
    <w:rsid w:val="00683341"/>
    <w:rsid w:val="00683738"/>
    <w:rsid w:val="006842E8"/>
    <w:rsid w:val="0068495B"/>
    <w:rsid w:val="00684E74"/>
    <w:rsid w:val="00686454"/>
    <w:rsid w:val="006869E3"/>
    <w:rsid w:val="00686C15"/>
    <w:rsid w:val="0068763D"/>
    <w:rsid w:val="00690552"/>
    <w:rsid w:val="006905E9"/>
    <w:rsid w:val="006913E8"/>
    <w:rsid w:val="006917B7"/>
    <w:rsid w:val="00691910"/>
    <w:rsid w:val="00692C9A"/>
    <w:rsid w:val="00692D07"/>
    <w:rsid w:val="00693047"/>
    <w:rsid w:val="00693218"/>
    <w:rsid w:val="00693CFA"/>
    <w:rsid w:val="00695F1D"/>
    <w:rsid w:val="00696D80"/>
    <w:rsid w:val="006970E2"/>
    <w:rsid w:val="006A00F7"/>
    <w:rsid w:val="006A01F1"/>
    <w:rsid w:val="006A0459"/>
    <w:rsid w:val="006A1730"/>
    <w:rsid w:val="006A1A7C"/>
    <w:rsid w:val="006A1ADD"/>
    <w:rsid w:val="006A2E15"/>
    <w:rsid w:val="006A2E2D"/>
    <w:rsid w:val="006A3A36"/>
    <w:rsid w:val="006A4268"/>
    <w:rsid w:val="006A4D9D"/>
    <w:rsid w:val="006A5CAD"/>
    <w:rsid w:val="006A65DE"/>
    <w:rsid w:val="006A7ABC"/>
    <w:rsid w:val="006B0304"/>
    <w:rsid w:val="006B1CA4"/>
    <w:rsid w:val="006B1EAD"/>
    <w:rsid w:val="006B30C3"/>
    <w:rsid w:val="006B319E"/>
    <w:rsid w:val="006B5523"/>
    <w:rsid w:val="006B5907"/>
    <w:rsid w:val="006B59F7"/>
    <w:rsid w:val="006B5C8A"/>
    <w:rsid w:val="006B5E25"/>
    <w:rsid w:val="006B63FB"/>
    <w:rsid w:val="006B67D2"/>
    <w:rsid w:val="006B712F"/>
    <w:rsid w:val="006B7569"/>
    <w:rsid w:val="006C1085"/>
    <w:rsid w:val="006C2AE2"/>
    <w:rsid w:val="006C2B81"/>
    <w:rsid w:val="006C37A8"/>
    <w:rsid w:val="006C3D6B"/>
    <w:rsid w:val="006C3DE7"/>
    <w:rsid w:val="006C4E3E"/>
    <w:rsid w:val="006C5289"/>
    <w:rsid w:val="006C5D14"/>
    <w:rsid w:val="006C6AC0"/>
    <w:rsid w:val="006C6CA8"/>
    <w:rsid w:val="006C7E76"/>
    <w:rsid w:val="006D0543"/>
    <w:rsid w:val="006D129E"/>
    <w:rsid w:val="006D184D"/>
    <w:rsid w:val="006D1F88"/>
    <w:rsid w:val="006D2314"/>
    <w:rsid w:val="006D3418"/>
    <w:rsid w:val="006D368F"/>
    <w:rsid w:val="006D41C8"/>
    <w:rsid w:val="006D4E4F"/>
    <w:rsid w:val="006D53C0"/>
    <w:rsid w:val="006D550C"/>
    <w:rsid w:val="006D5629"/>
    <w:rsid w:val="006D5828"/>
    <w:rsid w:val="006D5CEF"/>
    <w:rsid w:val="006D610D"/>
    <w:rsid w:val="006D7219"/>
    <w:rsid w:val="006E05C0"/>
    <w:rsid w:val="006E0CA5"/>
    <w:rsid w:val="006E0E82"/>
    <w:rsid w:val="006E0F22"/>
    <w:rsid w:val="006E108F"/>
    <w:rsid w:val="006E1B8B"/>
    <w:rsid w:val="006E1D7D"/>
    <w:rsid w:val="006E1F1E"/>
    <w:rsid w:val="006E308A"/>
    <w:rsid w:val="006E37A9"/>
    <w:rsid w:val="006E3EC9"/>
    <w:rsid w:val="006E4DC6"/>
    <w:rsid w:val="006E6070"/>
    <w:rsid w:val="006E640F"/>
    <w:rsid w:val="006E6FDF"/>
    <w:rsid w:val="006E731C"/>
    <w:rsid w:val="006F0C40"/>
    <w:rsid w:val="006F1A5D"/>
    <w:rsid w:val="006F3766"/>
    <w:rsid w:val="006F4384"/>
    <w:rsid w:val="006F629D"/>
    <w:rsid w:val="006F7138"/>
    <w:rsid w:val="006F72F9"/>
    <w:rsid w:val="006F7F32"/>
    <w:rsid w:val="00700590"/>
    <w:rsid w:val="0070097E"/>
    <w:rsid w:val="007010D4"/>
    <w:rsid w:val="007014C9"/>
    <w:rsid w:val="00701B9D"/>
    <w:rsid w:val="00701F19"/>
    <w:rsid w:val="00702065"/>
    <w:rsid w:val="00702C65"/>
    <w:rsid w:val="00704BF9"/>
    <w:rsid w:val="0070503E"/>
    <w:rsid w:val="007050D5"/>
    <w:rsid w:val="007053DC"/>
    <w:rsid w:val="007057B6"/>
    <w:rsid w:val="007067A4"/>
    <w:rsid w:val="00707A7E"/>
    <w:rsid w:val="00710268"/>
    <w:rsid w:val="0071078E"/>
    <w:rsid w:val="00712676"/>
    <w:rsid w:val="00712758"/>
    <w:rsid w:val="007137F4"/>
    <w:rsid w:val="00713E7B"/>
    <w:rsid w:val="00714923"/>
    <w:rsid w:val="00716F13"/>
    <w:rsid w:val="00717827"/>
    <w:rsid w:val="00717BE7"/>
    <w:rsid w:val="007201FF"/>
    <w:rsid w:val="00720CA2"/>
    <w:rsid w:val="00720F9C"/>
    <w:rsid w:val="00723668"/>
    <w:rsid w:val="00724661"/>
    <w:rsid w:val="007273D9"/>
    <w:rsid w:val="00731484"/>
    <w:rsid w:val="007318D6"/>
    <w:rsid w:val="00732249"/>
    <w:rsid w:val="00732297"/>
    <w:rsid w:val="007330AD"/>
    <w:rsid w:val="007343CC"/>
    <w:rsid w:val="007356C4"/>
    <w:rsid w:val="00735C4F"/>
    <w:rsid w:val="0073678B"/>
    <w:rsid w:val="00737BFC"/>
    <w:rsid w:val="00737F85"/>
    <w:rsid w:val="007409D0"/>
    <w:rsid w:val="007409EB"/>
    <w:rsid w:val="007412C4"/>
    <w:rsid w:val="00742532"/>
    <w:rsid w:val="007462F7"/>
    <w:rsid w:val="00746607"/>
    <w:rsid w:val="007466B9"/>
    <w:rsid w:val="007504A3"/>
    <w:rsid w:val="00751233"/>
    <w:rsid w:val="0075187A"/>
    <w:rsid w:val="00751CBE"/>
    <w:rsid w:val="00751EC5"/>
    <w:rsid w:val="0075240B"/>
    <w:rsid w:val="00752DC8"/>
    <w:rsid w:val="00753E20"/>
    <w:rsid w:val="007541D5"/>
    <w:rsid w:val="00755DB1"/>
    <w:rsid w:val="0076082A"/>
    <w:rsid w:val="007608A8"/>
    <w:rsid w:val="00760B18"/>
    <w:rsid w:val="00761244"/>
    <w:rsid w:val="00761DB6"/>
    <w:rsid w:val="00761DEF"/>
    <w:rsid w:val="00764560"/>
    <w:rsid w:val="007649CC"/>
    <w:rsid w:val="00764EA1"/>
    <w:rsid w:val="007658DD"/>
    <w:rsid w:val="0076607F"/>
    <w:rsid w:val="00766C61"/>
    <w:rsid w:val="00766F2B"/>
    <w:rsid w:val="00767509"/>
    <w:rsid w:val="0076755D"/>
    <w:rsid w:val="00767851"/>
    <w:rsid w:val="00767FC8"/>
    <w:rsid w:val="007703CE"/>
    <w:rsid w:val="00771152"/>
    <w:rsid w:val="00771348"/>
    <w:rsid w:val="007715C1"/>
    <w:rsid w:val="00773333"/>
    <w:rsid w:val="007733B9"/>
    <w:rsid w:val="00775195"/>
    <w:rsid w:val="00776B89"/>
    <w:rsid w:val="00777F87"/>
    <w:rsid w:val="00780024"/>
    <w:rsid w:val="00780E50"/>
    <w:rsid w:val="0078155E"/>
    <w:rsid w:val="00782C9F"/>
    <w:rsid w:val="007836A7"/>
    <w:rsid w:val="00784626"/>
    <w:rsid w:val="00786B40"/>
    <w:rsid w:val="007875E8"/>
    <w:rsid w:val="0079054D"/>
    <w:rsid w:val="00790AA8"/>
    <w:rsid w:val="0079262E"/>
    <w:rsid w:val="00792E9A"/>
    <w:rsid w:val="00793036"/>
    <w:rsid w:val="00793E33"/>
    <w:rsid w:val="00794EB7"/>
    <w:rsid w:val="007962A0"/>
    <w:rsid w:val="007969B2"/>
    <w:rsid w:val="00796B27"/>
    <w:rsid w:val="007A086D"/>
    <w:rsid w:val="007A0C4C"/>
    <w:rsid w:val="007A1328"/>
    <w:rsid w:val="007A19C6"/>
    <w:rsid w:val="007A33BD"/>
    <w:rsid w:val="007A3A17"/>
    <w:rsid w:val="007A3E6A"/>
    <w:rsid w:val="007A3F69"/>
    <w:rsid w:val="007A49B8"/>
    <w:rsid w:val="007A4BA0"/>
    <w:rsid w:val="007A4F64"/>
    <w:rsid w:val="007A5DB6"/>
    <w:rsid w:val="007A681A"/>
    <w:rsid w:val="007A6C55"/>
    <w:rsid w:val="007A7107"/>
    <w:rsid w:val="007A7891"/>
    <w:rsid w:val="007B18E5"/>
    <w:rsid w:val="007B1E39"/>
    <w:rsid w:val="007B3821"/>
    <w:rsid w:val="007B401C"/>
    <w:rsid w:val="007B4A45"/>
    <w:rsid w:val="007B5B7D"/>
    <w:rsid w:val="007B62F2"/>
    <w:rsid w:val="007B757B"/>
    <w:rsid w:val="007C028C"/>
    <w:rsid w:val="007C1D4D"/>
    <w:rsid w:val="007C1FA6"/>
    <w:rsid w:val="007C21E8"/>
    <w:rsid w:val="007C2362"/>
    <w:rsid w:val="007C606E"/>
    <w:rsid w:val="007D0078"/>
    <w:rsid w:val="007D0164"/>
    <w:rsid w:val="007D0489"/>
    <w:rsid w:val="007D072A"/>
    <w:rsid w:val="007D0B4E"/>
    <w:rsid w:val="007D0C43"/>
    <w:rsid w:val="007D0E0C"/>
    <w:rsid w:val="007D1830"/>
    <w:rsid w:val="007D2BE7"/>
    <w:rsid w:val="007D37CA"/>
    <w:rsid w:val="007D37E5"/>
    <w:rsid w:val="007D397A"/>
    <w:rsid w:val="007D3BF8"/>
    <w:rsid w:val="007D4322"/>
    <w:rsid w:val="007D4A94"/>
    <w:rsid w:val="007D4B39"/>
    <w:rsid w:val="007D571F"/>
    <w:rsid w:val="007D5E1B"/>
    <w:rsid w:val="007D642A"/>
    <w:rsid w:val="007D64B6"/>
    <w:rsid w:val="007D799B"/>
    <w:rsid w:val="007E01B1"/>
    <w:rsid w:val="007E058E"/>
    <w:rsid w:val="007E0879"/>
    <w:rsid w:val="007E17D8"/>
    <w:rsid w:val="007E1C3E"/>
    <w:rsid w:val="007E2CC8"/>
    <w:rsid w:val="007E3B88"/>
    <w:rsid w:val="007E57AA"/>
    <w:rsid w:val="007E5B1B"/>
    <w:rsid w:val="007E5F95"/>
    <w:rsid w:val="007E61C7"/>
    <w:rsid w:val="007E7293"/>
    <w:rsid w:val="007E7BC8"/>
    <w:rsid w:val="007F0449"/>
    <w:rsid w:val="007F1666"/>
    <w:rsid w:val="007F16E6"/>
    <w:rsid w:val="007F1D63"/>
    <w:rsid w:val="007F2572"/>
    <w:rsid w:val="007F2B07"/>
    <w:rsid w:val="007F57C1"/>
    <w:rsid w:val="007F5F60"/>
    <w:rsid w:val="007F6666"/>
    <w:rsid w:val="00800078"/>
    <w:rsid w:val="00800A16"/>
    <w:rsid w:val="0080121C"/>
    <w:rsid w:val="0080200D"/>
    <w:rsid w:val="00802079"/>
    <w:rsid w:val="00803700"/>
    <w:rsid w:val="0080438E"/>
    <w:rsid w:val="0080439D"/>
    <w:rsid w:val="00804D84"/>
    <w:rsid w:val="00810580"/>
    <w:rsid w:val="008115AD"/>
    <w:rsid w:val="00812345"/>
    <w:rsid w:val="0081415A"/>
    <w:rsid w:val="00814A9D"/>
    <w:rsid w:val="00814D6E"/>
    <w:rsid w:val="0081533C"/>
    <w:rsid w:val="00815EAB"/>
    <w:rsid w:val="00820BB6"/>
    <w:rsid w:val="0082255B"/>
    <w:rsid w:val="00822766"/>
    <w:rsid w:val="00822B92"/>
    <w:rsid w:val="00822C34"/>
    <w:rsid w:val="00822F81"/>
    <w:rsid w:val="00823BE4"/>
    <w:rsid w:val="008245F4"/>
    <w:rsid w:val="00824D72"/>
    <w:rsid w:val="00824D7F"/>
    <w:rsid w:val="00826889"/>
    <w:rsid w:val="00827A1B"/>
    <w:rsid w:val="00830B09"/>
    <w:rsid w:val="00830E28"/>
    <w:rsid w:val="008326CE"/>
    <w:rsid w:val="00832F12"/>
    <w:rsid w:val="008332D8"/>
    <w:rsid w:val="00833898"/>
    <w:rsid w:val="00833C3B"/>
    <w:rsid w:val="00835534"/>
    <w:rsid w:val="008369C1"/>
    <w:rsid w:val="00837469"/>
    <w:rsid w:val="008376FF"/>
    <w:rsid w:val="0084085B"/>
    <w:rsid w:val="00841F5B"/>
    <w:rsid w:val="00845AA9"/>
    <w:rsid w:val="00846B0C"/>
    <w:rsid w:val="00847302"/>
    <w:rsid w:val="008500D5"/>
    <w:rsid w:val="00851F05"/>
    <w:rsid w:val="00852959"/>
    <w:rsid w:val="0085418A"/>
    <w:rsid w:val="008544E6"/>
    <w:rsid w:val="0085462D"/>
    <w:rsid w:val="00854A1C"/>
    <w:rsid w:val="00855352"/>
    <w:rsid w:val="008553A1"/>
    <w:rsid w:val="00855511"/>
    <w:rsid w:val="00856E59"/>
    <w:rsid w:val="0085723F"/>
    <w:rsid w:val="00857B57"/>
    <w:rsid w:val="00861AF5"/>
    <w:rsid w:val="00862FBF"/>
    <w:rsid w:val="00863B04"/>
    <w:rsid w:val="00863B1C"/>
    <w:rsid w:val="00863C3F"/>
    <w:rsid w:val="00863F7B"/>
    <w:rsid w:val="00864CA1"/>
    <w:rsid w:val="00864CD0"/>
    <w:rsid w:val="00864EEC"/>
    <w:rsid w:val="0086569C"/>
    <w:rsid w:val="0086603E"/>
    <w:rsid w:val="00867AA3"/>
    <w:rsid w:val="0087360D"/>
    <w:rsid w:val="00875525"/>
    <w:rsid w:val="008768B9"/>
    <w:rsid w:val="0087754F"/>
    <w:rsid w:val="0088061F"/>
    <w:rsid w:val="008823CF"/>
    <w:rsid w:val="008828F8"/>
    <w:rsid w:val="008831DD"/>
    <w:rsid w:val="008847C1"/>
    <w:rsid w:val="00884FE7"/>
    <w:rsid w:val="008857A4"/>
    <w:rsid w:val="00885BD1"/>
    <w:rsid w:val="0088697E"/>
    <w:rsid w:val="00887054"/>
    <w:rsid w:val="0089014B"/>
    <w:rsid w:val="00892066"/>
    <w:rsid w:val="00892172"/>
    <w:rsid w:val="00893C80"/>
    <w:rsid w:val="00894724"/>
    <w:rsid w:val="00895339"/>
    <w:rsid w:val="008963D2"/>
    <w:rsid w:val="008966C8"/>
    <w:rsid w:val="00896997"/>
    <w:rsid w:val="0089733A"/>
    <w:rsid w:val="00897FDA"/>
    <w:rsid w:val="008A04F6"/>
    <w:rsid w:val="008A0BED"/>
    <w:rsid w:val="008A0CD6"/>
    <w:rsid w:val="008A11B1"/>
    <w:rsid w:val="008A20EB"/>
    <w:rsid w:val="008A2723"/>
    <w:rsid w:val="008A3CAB"/>
    <w:rsid w:val="008A588A"/>
    <w:rsid w:val="008A5CA3"/>
    <w:rsid w:val="008A61DD"/>
    <w:rsid w:val="008A6FEB"/>
    <w:rsid w:val="008A75B5"/>
    <w:rsid w:val="008A7735"/>
    <w:rsid w:val="008B0D52"/>
    <w:rsid w:val="008B16B5"/>
    <w:rsid w:val="008B1C57"/>
    <w:rsid w:val="008B26B7"/>
    <w:rsid w:val="008B2FC4"/>
    <w:rsid w:val="008B47D0"/>
    <w:rsid w:val="008B4B1B"/>
    <w:rsid w:val="008B4B60"/>
    <w:rsid w:val="008B4F4D"/>
    <w:rsid w:val="008B5124"/>
    <w:rsid w:val="008B5EEF"/>
    <w:rsid w:val="008B64EE"/>
    <w:rsid w:val="008B73C9"/>
    <w:rsid w:val="008B7724"/>
    <w:rsid w:val="008B7CA7"/>
    <w:rsid w:val="008B7EDA"/>
    <w:rsid w:val="008C027A"/>
    <w:rsid w:val="008C0FD1"/>
    <w:rsid w:val="008C1370"/>
    <w:rsid w:val="008C1B50"/>
    <w:rsid w:val="008C1CE9"/>
    <w:rsid w:val="008C1EE6"/>
    <w:rsid w:val="008C30DC"/>
    <w:rsid w:val="008C322D"/>
    <w:rsid w:val="008C416A"/>
    <w:rsid w:val="008C42A4"/>
    <w:rsid w:val="008C45AF"/>
    <w:rsid w:val="008C52AD"/>
    <w:rsid w:val="008C52EC"/>
    <w:rsid w:val="008C5B10"/>
    <w:rsid w:val="008C5FA4"/>
    <w:rsid w:val="008C732A"/>
    <w:rsid w:val="008D012B"/>
    <w:rsid w:val="008D0A95"/>
    <w:rsid w:val="008D13AB"/>
    <w:rsid w:val="008D1823"/>
    <w:rsid w:val="008D2794"/>
    <w:rsid w:val="008D3394"/>
    <w:rsid w:val="008D5C38"/>
    <w:rsid w:val="008D783D"/>
    <w:rsid w:val="008D7D4F"/>
    <w:rsid w:val="008D7E46"/>
    <w:rsid w:val="008E0008"/>
    <w:rsid w:val="008E085C"/>
    <w:rsid w:val="008E12CF"/>
    <w:rsid w:val="008E163D"/>
    <w:rsid w:val="008E1B54"/>
    <w:rsid w:val="008E1C63"/>
    <w:rsid w:val="008E209F"/>
    <w:rsid w:val="008E4746"/>
    <w:rsid w:val="008E486B"/>
    <w:rsid w:val="008E5740"/>
    <w:rsid w:val="008E5C7F"/>
    <w:rsid w:val="008E6263"/>
    <w:rsid w:val="008E7F50"/>
    <w:rsid w:val="008F0183"/>
    <w:rsid w:val="008F0A74"/>
    <w:rsid w:val="008F0BFC"/>
    <w:rsid w:val="008F13D9"/>
    <w:rsid w:val="008F224F"/>
    <w:rsid w:val="008F22A9"/>
    <w:rsid w:val="008F2588"/>
    <w:rsid w:val="008F2A69"/>
    <w:rsid w:val="008F3560"/>
    <w:rsid w:val="008F35CF"/>
    <w:rsid w:val="008F3784"/>
    <w:rsid w:val="008F6C73"/>
    <w:rsid w:val="008F7D8E"/>
    <w:rsid w:val="00901AC4"/>
    <w:rsid w:val="0090390B"/>
    <w:rsid w:val="0090430F"/>
    <w:rsid w:val="00904692"/>
    <w:rsid w:val="00906461"/>
    <w:rsid w:val="00912236"/>
    <w:rsid w:val="00912363"/>
    <w:rsid w:val="00912981"/>
    <w:rsid w:val="009137D2"/>
    <w:rsid w:val="00916103"/>
    <w:rsid w:val="0092282D"/>
    <w:rsid w:val="009258E1"/>
    <w:rsid w:val="00925BD2"/>
    <w:rsid w:val="00926BDC"/>
    <w:rsid w:val="00926C7F"/>
    <w:rsid w:val="00927829"/>
    <w:rsid w:val="00930242"/>
    <w:rsid w:val="00930C76"/>
    <w:rsid w:val="00930CA7"/>
    <w:rsid w:val="00931366"/>
    <w:rsid w:val="00931462"/>
    <w:rsid w:val="00931EE9"/>
    <w:rsid w:val="0093260D"/>
    <w:rsid w:val="00933B12"/>
    <w:rsid w:val="00933E20"/>
    <w:rsid w:val="00934505"/>
    <w:rsid w:val="0093752C"/>
    <w:rsid w:val="00940A57"/>
    <w:rsid w:val="009417F3"/>
    <w:rsid w:val="00941B6A"/>
    <w:rsid w:val="00941E29"/>
    <w:rsid w:val="00943452"/>
    <w:rsid w:val="00943903"/>
    <w:rsid w:val="00943AE0"/>
    <w:rsid w:val="00944D4F"/>
    <w:rsid w:val="009459BD"/>
    <w:rsid w:val="009466A4"/>
    <w:rsid w:val="0094799C"/>
    <w:rsid w:val="009479E6"/>
    <w:rsid w:val="00952F44"/>
    <w:rsid w:val="00953583"/>
    <w:rsid w:val="00954056"/>
    <w:rsid w:val="009544F9"/>
    <w:rsid w:val="00954F6C"/>
    <w:rsid w:val="00955272"/>
    <w:rsid w:val="009562DC"/>
    <w:rsid w:val="009570FA"/>
    <w:rsid w:val="0096082E"/>
    <w:rsid w:val="0096220B"/>
    <w:rsid w:val="0096291E"/>
    <w:rsid w:val="00962D29"/>
    <w:rsid w:val="009640AE"/>
    <w:rsid w:val="0096574B"/>
    <w:rsid w:val="00965C4C"/>
    <w:rsid w:val="00967371"/>
    <w:rsid w:val="009673C0"/>
    <w:rsid w:val="00967A4C"/>
    <w:rsid w:val="00970131"/>
    <w:rsid w:val="00970F5C"/>
    <w:rsid w:val="00971BB7"/>
    <w:rsid w:val="00971D30"/>
    <w:rsid w:val="009726E0"/>
    <w:rsid w:val="00973196"/>
    <w:rsid w:val="00974564"/>
    <w:rsid w:val="00975E58"/>
    <w:rsid w:val="00976B9F"/>
    <w:rsid w:val="009770FD"/>
    <w:rsid w:val="00977598"/>
    <w:rsid w:val="00981FAB"/>
    <w:rsid w:val="009836C3"/>
    <w:rsid w:val="00983FA0"/>
    <w:rsid w:val="009841A2"/>
    <w:rsid w:val="009847CA"/>
    <w:rsid w:val="00986BB6"/>
    <w:rsid w:val="0098703B"/>
    <w:rsid w:val="00987147"/>
    <w:rsid w:val="009876B7"/>
    <w:rsid w:val="00987F63"/>
    <w:rsid w:val="00990CEE"/>
    <w:rsid w:val="00990E6D"/>
    <w:rsid w:val="00990F67"/>
    <w:rsid w:val="00992132"/>
    <w:rsid w:val="00992203"/>
    <w:rsid w:val="00992C0B"/>
    <w:rsid w:val="00992E76"/>
    <w:rsid w:val="009949EC"/>
    <w:rsid w:val="009949FE"/>
    <w:rsid w:val="00994C12"/>
    <w:rsid w:val="009960DF"/>
    <w:rsid w:val="0099622F"/>
    <w:rsid w:val="00996264"/>
    <w:rsid w:val="009963FD"/>
    <w:rsid w:val="0099653E"/>
    <w:rsid w:val="00996F8B"/>
    <w:rsid w:val="0099750D"/>
    <w:rsid w:val="00997597"/>
    <w:rsid w:val="00997BAF"/>
    <w:rsid w:val="009A023C"/>
    <w:rsid w:val="009A0E24"/>
    <w:rsid w:val="009A160C"/>
    <w:rsid w:val="009A21D4"/>
    <w:rsid w:val="009A394C"/>
    <w:rsid w:val="009A402A"/>
    <w:rsid w:val="009A5252"/>
    <w:rsid w:val="009A6C37"/>
    <w:rsid w:val="009B0F47"/>
    <w:rsid w:val="009B24D7"/>
    <w:rsid w:val="009B316E"/>
    <w:rsid w:val="009B3345"/>
    <w:rsid w:val="009B3367"/>
    <w:rsid w:val="009B4698"/>
    <w:rsid w:val="009B5039"/>
    <w:rsid w:val="009B54AE"/>
    <w:rsid w:val="009B586C"/>
    <w:rsid w:val="009B5B4C"/>
    <w:rsid w:val="009B5FF9"/>
    <w:rsid w:val="009B6C2C"/>
    <w:rsid w:val="009B6C92"/>
    <w:rsid w:val="009B6EDB"/>
    <w:rsid w:val="009C1106"/>
    <w:rsid w:val="009C119C"/>
    <w:rsid w:val="009C1279"/>
    <w:rsid w:val="009C1350"/>
    <w:rsid w:val="009C14AB"/>
    <w:rsid w:val="009C1757"/>
    <w:rsid w:val="009C38B1"/>
    <w:rsid w:val="009C52D0"/>
    <w:rsid w:val="009C56D6"/>
    <w:rsid w:val="009C7081"/>
    <w:rsid w:val="009C760F"/>
    <w:rsid w:val="009C7700"/>
    <w:rsid w:val="009D157C"/>
    <w:rsid w:val="009D1FCE"/>
    <w:rsid w:val="009D2DFF"/>
    <w:rsid w:val="009D3C8F"/>
    <w:rsid w:val="009D3D7D"/>
    <w:rsid w:val="009D45D3"/>
    <w:rsid w:val="009D462B"/>
    <w:rsid w:val="009D4B9F"/>
    <w:rsid w:val="009D5552"/>
    <w:rsid w:val="009D7817"/>
    <w:rsid w:val="009E09A5"/>
    <w:rsid w:val="009E1353"/>
    <w:rsid w:val="009E144A"/>
    <w:rsid w:val="009E14D2"/>
    <w:rsid w:val="009E187E"/>
    <w:rsid w:val="009E1C1E"/>
    <w:rsid w:val="009E205E"/>
    <w:rsid w:val="009E2AA2"/>
    <w:rsid w:val="009E324E"/>
    <w:rsid w:val="009E54C9"/>
    <w:rsid w:val="009E5B5F"/>
    <w:rsid w:val="009E5C48"/>
    <w:rsid w:val="009E6F5F"/>
    <w:rsid w:val="009E712B"/>
    <w:rsid w:val="009E7A4C"/>
    <w:rsid w:val="009F1121"/>
    <w:rsid w:val="009F29C4"/>
    <w:rsid w:val="009F39B0"/>
    <w:rsid w:val="009F3B6B"/>
    <w:rsid w:val="009F3BAF"/>
    <w:rsid w:val="009F455C"/>
    <w:rsid w:val="009F4BAE"/>
    <w:rsid w:val="009F5078"/>
    <w:rsid w:val="009F60C1"/>
    <w:rsid w:val="009F628C"/>
    <w:rsid w:val="009F6C52"/>
    <w:rsid w:val="009F6D6F"/>
    <w:rsid w:val="009F6EE2"/>
    <w:rsid w:val="009F71DD"/>
    <w:rsid w:val="009F7A86"/>
    <w:rsid w:val="00A0178D"/>
    <w:rsid w:val="00A04723"/>
    <w:rsid w:val="00A04D62"/>
    <w:rsid w:val="00A06042"/>
    <w:rsid w:val="00A060F4"/>
    <w:rsid w:val="00A06A12"/>
    <w:rsid w:val="00A07030"/>
    <w:rsid w:val="00A077D0"/>
    <w:rsid w:val="00A07E62"/>
    <w:rsid w:val="00A110D0"/>
    <w:rsid w:val="00A113C6"/>
    <w:rsid w:val="00A12A4C"/>
    <w:rsid w:val="00A12F20"/>
    <w:rsid w:val="00A12FB2"/>
    <w:rsid w:val="00A14F6E"/>
    <w:rsid w:val="00A15DA6"/>
    <w:rsid w:val="00A16A7F"/>
    <w:rsid w:val="00A17649"/>
    <w:rsid w:val="00A20DBF"/>
    <w:rsid w:val="00A20E4A"/>
    <w:rsid w:val="00A232FE"/>
    <w:rsid w:val="00A239AB"/>
    <w:rsid w:val="00A23A8B"/>
    <w:rsid w:val="00A2447E"/>
    <w:rsid w:val="00A247B9"/>
    <w:rsid w:val="00A25A01"/>
    <w:rsid w:val="00A26E95"/>
    <w:rsid w:val="00A31000"/>
    <w:rsid w:val="00A335B5"/>
    <w:rsid w:val="00A33C4E"/>
    <w:rsid w:val="00A34706"/>
    <w:rsid w:val="00A3663D"/>
    <w:rsid w:val="00A37C33"/>
    <w:rsid w:val="00A401B8"/>
    <w:rsid w:val="00A404AF"/>
    <w:rsid w:val="00A40DA9"/>
    <w:rsid w:val="00A41D7F"/>
    <w:rsid w:val="00A42735"/>
    <w:rsid w:val="00A435B7"/>
    <w:rsid w:val="00A4539C"/>
    <w:rsid w:val="00A46136"/>
    <w:rsid w:val="00A50221"/>
    <w:rsid w:val="00A50480"/>
    <w:rsid w:val="00A50738"/>
    <w:rsid w:val="00A50DEE"/>
    <w:rsid w:val="00A51F4D"/>
    <w:rsid w:val="00A5255B"/>
    <w:rsid w:val="00A531F8"/>
    <w:rsid w:val="00A53635"/>
    <w:rsid w:val="00A54438"/>
    <w:rsid w:val="00A5486A"/>
    <w:rsid w:val="00A54948"/>
    <w:rsid w:val="00A54A95"/>
    <w:rsid w:val="00A56AF5"/>
    <w:rsid w:val="00A600CB"/>
    <w:rsid w:val="00A604E2"/>
    <w:rsid w:val="00A605C5"/>
    <w:rsid w:val="00A61F3F"/>
    <w:rsid w:val="00A62BB9"/>
    <w:rsid w:val="00A63762"/>
    <w:rsid w:val="00A659CC"/>
    <w:rsid w:val="00A65EE9"/>
    <w:rsid w:val="00A6606C"/>
    <w:rsid w:val="00A7027E"/>
    <w:rsid w:val="00A70E4B"/>
    <w:rsid w:val="00A71D21"/>
    <w:rsid w:val="00A7215F"/>
    <w:rsid w:val="00A729C7"/>
    <w:rsid w:val="00A72AD5"/>
    <w:rsid w:val="00A72C49"/>
    <w:rsid w:val="00A72C81"/>
    <w:rsid w:val="00A73230"/>
    <w:rsid w:val="00A74181"/>
    <w:rsid w:val="00A74693"/>
    <w:rsid w:val="00A74B57"/>
    <w:rsid w:val="00A751EF"/>
    <w:rsid w:val="00A75484"/>
    <w:rsid w:val="00A76C47"/>
    <w:rsid w:val="00A77312"/>
    <w:rsid w:val="00A774F2"/>
    <w:rsid w:val="00A77C94"/>
    <w:rsid w:val="00A77EB1"/>
    <w:rsid w:val="00A80287"/>
    <w:rsid w:val="00A8083D"/>
    <w:rsid w:val="00A810CB"/>
    <w:rsid w:val="00A85E8F"/>
    <w:rsid w:val="00A861C1"/>
    <w:rsid w:val="00A86D11"/>
    <w:rsid w:val="00A9176B"/>
    <w:rsid w:val="00A91BCA"/>
    <w:rsid w:val="00A9278C"/>
    <w:rsid w:val="00A92C1C"/>
    <w:rsid w:val="00A935B1"/>
    <w:rsid w:val="00A941C6"/>
    <w:rsid w:val="00A94426"/>
    <w:rsid w:val="00A946FD"/>
    <w:rsid w:val="00A9518F"/>
    <w:rsid w:val="00A956E1"/>
    <w:rsid w:val="00A95B87"/>
    <w:rsid w:val="00A95C7E"/>
    <w:rsid w:val="00A95E1B"/>
    <w:rsid w:val="00A9676D"/>
    <w:rsid w:val="00A96B4F"/>
    <w:rsid w:val="00A97922"/>
    <w:rsid w:val="00AA066F"/>
    <w:rsid w:val="00AA0722"/>
    <w:rsid w:val="00AA0C11"/>
    <w:rsid w:val="00AA2755"/>
    <w:rsid w:val="00AA27F4"/>
    <w:rsid w:val="00AA3210"/>
    <w:rsid w:val="00AA34FC"/>
    <w:rsid w:val="00AA489C"/>
    <w:rsid w:val="00AA4ACC"/>
    <w:rsid w:val="00AA4C00"/>
    <w:rsid w:val="00AA6720"/>
    <w:rsid w:val="00AA6832"/>
    <w:rsid w:val="00AA7B98"/>
    <w:rsid w:val="00AB09A5"/>
    <w:rsid w:val="00AB0D6E"/>
    <w:rsid w:val="00AB160C"/>
    <w:rsid w:val="00AB2CBE"/>
    <w:rsid w:val="00AB2EE4"/>
    <w:rsid w:val="00AB321E"/>
    <w:rsid w:val="00AB3396"/>
    <w:rsid w:val="00AB3CF4"/>
    <w:rsid w:val="00AB3ED6"/>
    <w:rsid w:val="00AB457E"/>
    <w:rsid w:val="00AB46AD"/>
    <w:rsid w:val="00AB48AC"/>
    <w:rsid w:val="00AB4FF7"/>
    <w:rsid w:val="00AB5024"/>
    <w:rsid w:val="00AB5442"/>
    <w:rsid w:val="00AB5941"/>
    <w:rsid w:val="00AB71BF"/>
    <w:rsid w:val="00AB7E9A"/>
    <w:rsid w:val="00AC0A64"/>
    <w:rsid w:val="00AC1397"/>
    <w:rsid w:val="00AC2003"/>
    <w:rsid w:val="00AC263B"/>
    <w:rsid w:val="00AC2A5E"/>
    <w:rsid w:val="00AC3678"/>
    <w:rsid w:val="00AC3720"/>
    <w:rsid w:val="00AC405A"/>
    <w:rsid w:val="00AC6D8E"/>
    <w:rsid w:val="00AC7329"/>
    <w:rsid w:val="00AD04E1"/>
    <w:rsid w:val="00AD1119"/>
    <w:rsid w:val="00AD18E9"/>
    <w:rsid w:val="00AD25D5"/>
    <w:rsid w:val="00AD2F18"/>
    <w:rsid w:val="00AD5205"/>
    <w:rsid w:val="00AD6049"/>
    <w:rsid w:val="00AD7E9F"/>
    <w:rsid w:val="00AE214D"/>
    <w:rsid w:val="00AE29F1"/>
    <w:rsid w:val="00AE4187"/>
    <w:rsid w:val="00AE6526"/>
    <w:rsid w:val="00AE65DE"/>
    <w:rsid w:val="00AE69FF"/>
    <w:rsid w:val="00AE717E"/>
    <w:rsid w:val="00AE7598"/>
    <w:rsid w:val="00AE7EE4"/>
    <w:rsid w:val="00AF0A9E"/>
    <w:rsid w:val="00AF1947"/>
    <w:rsid w:val="00AF19BF"/>
    <w:rsid w:val="00AF1C85"/>
    <w:rsid w:val="00AF1D32"/>
    <w:rsid w:val="00AF242C"/>
    <w:rsid w:val="00AF2C7B"/>
    <w:rsid w:val="00AF409B"/>
    <w:rsid w:val="00AF4578"/>
    <w:rsid w:val="00AF480C"/>
    <w:rsid w:val="00AF4929"/>
    <w:rsid w:val="00AF4BD0"/>
    <w:rsid w:val="00AF4FB6"/>
    <w:rsid w:val="00B004EA"/>
    <w:rsid w:val="00B00710"/>
    <w:rsid w:val="00B00A8A"/>
    <w:rsid w:val="00B01C85"/>
    <w:rsid w:val="00B0244D"/>
    <w:rsid w:val="00B02C6E"/>
    <w:rsid w:val="00B04C66"/>
    <w:rsid w:val="00B06EF4"/>
    <w:rsid w:val="00B073C0"/>
    <w:rsid w:val="00B11696"/>
    <w:rsid w:val="00B129A9"/>
    <w:rsid w:val="00B13FE0"/>
    <w:rsid w:val="00B1462B"/>
    <w:rsid w:val="00B16D2B"/>
    <w:rsid w:val="00B17000"/>
    <w:rsid w:val="00B2237B"/>
    <w:rsid w:val="00B22C0D"/>
    <w:rsid w:val="00B25FC5"/>
    <w:rsid w:val="00B26020"/>
    <w:rsid w:val="00B271E5"/>
    <w:rsid w:val="00B27C93"/>
    <w:rsid w:val="00B30165"/>
    <w:rsid w:val="00B30C62"/>
    <w:rsid w:val="00B31D4C"/>
    <w:rsid w:val="00B32DA1"/>
    <w:rsid w:val="00B332D5"/>
    <w:rsid w:val="00B33354"/>
    <w:rsid w:val="00B3395B"/>
    <w:rsid w:val="00B366AF"/>
    <w:rsid w:val="00B36DFE"/>
    <w:rsid w:val="00B3714D"/>
    <w:rsid w:val="00B379E4"/>
    <w:rsid w:val="00B37C08"/>
    <w:rsid w:val="00B44769"/>
    <w:rsid w:val="00B45BDC"/>
    <w:rsid w:val="00B47B3F"/>
    <w:rsid w:val="00B50116"/>
    <w:rsid w:val="00B50A29"/>
    <w:rsid w:val="00B51CC8"/>
    <w:rsid w:val="00B53227"/>
    <w:rsid w:val="00B5438C"/>
    <w:rsid w:val="00B564CE"/>
    <w:rsid w:val="00B56584"/>
    <w:rsid w:val="00B56937"/>
    <w:rsid w:val="00B56B53"/>
    <w:rsid w:val="00B604B1"/>
    <w:rsid w:val="00B605FF"/>
    <w:rsid w:val="00B6136D"/>
    <w:rsid w:val="00B61AF6"/>
    <w:rsid w:val="00B61D34"/>
    <w:rsid w:val="00B624C8"/>
    <w:rsid w:val="00B62AB2"/>
    <w:rsid w:val="00B633C0"/>
    <w:rsid w:val="00B6353D"/>
    <w:rsid w:val="00B641A7"/>
    <w:rsid w:val="00B6457F"/>
    <w:rsid w:val="00B64678"/>
    <w:rsid w:val="00B646F4"/>
    <w:rsid w:val="00B650DD"/>
    <w:rsid w:val="00B6674A"/>
    <w:rsid w:val="00B70BD1"/>
    <w:rsid w:val="00B70C46"/>
    <w:rsid w:val="00B70F2D"/>
    <w:rsid w:val="00B71D1F"/>
    <w:rsid w:val="00B72623"/>
    <w:rsid w:val="00B727E6"/>
    <w:rsid w:val="00B73D73"/>
    <w:rsid w:val="00B7412F"/>
    <w:rsid w:val="00B7465C"/>
    <w:rsid w:val="00B74C46"/>
    <w:rsid w:val="00B74CC4"/>
    <w:rsid w:val="00B751BF"/>
    <w:rsid w:val="00B75662"/>
    <w:rsid w:val="00B76AA3"/>
    <w:rsid w:val="00B808F2"/>
    <w:rsid w:val="00B80963"/>
    <w:rsid w:val="00B809B0"/>
    <w:rsid w:val="00B82B97"/>
    <w:rsid w:val="00B82E21"/>
    <w:rsid w:val="00B84674"/>
    <w:rsid w:val="00B85815"/>
    <w:rsid w:val="00B861C2"/>
    <w:rsid w:val="00B8750D"/>
    <w:rsid w:val="00B87569"/>
    <w:rsid w:val="00B87B6D"/>
    <w:rsid w:val="00B901FA"/>
    <w:rsid w:val="00B90670"/>
    <w:rsid w:val="00B9073B"/>
    <w:rsid w:val="00B90A8A"/>
    <w:rsid w:val="00B90CC5"/>
    <w:rsid w:val="00B91680"/>
    <w:rsid w:val="00B916FB"/>
    <w:rsid w:val="00B923E6"/>
    <w:rsid w:val="00B92D44"/>
    <w:rsid w:val="00B92F5B"/>
    <w:rsid w:val="00B93DA7"/>
    <w:rsid w:val="00B9446E"/>
    <w:rsid w:val="00B9737D"/>
    <w:rsid w:val="00B97FDE"/>
    <w:rsid w:val="00BA13AA"/>
    <w:rsid w:val="00BA1668"/>
    <w:rsid w:val="00BA1CA6"/>
    <w:rsid w:val="00BA3970"/>
    <w:rsid w:val="00BA3E59"/>
    <w:rsid w:val="00BA4641"/>
    <w:rsid w:val="00BA5BAC"/>
    <w:rsid w:val="00BA62FD"/>
    <w:rsid w:val="00BB12E8"/>
    <w:rsid w:val="00BB1785"/>
    <w:rsid w:val="00BB27BD"/>
    <w:rsid w:val="00BB3A02"/>
    <w:rsid w:val="00BB3EAB"/>
    <w:rsid w:val="00BB46A0"/>
    <w:rsid w:val="00BB5B29"/>
    <w:rsid w:val="00BB6BA6"/>
    <w:rsid w:val="00BB76F8"/>
    <w:rsid w:val="00BC1FE6"/>
    <w:rsid w:val="00BC2C75"/>
    <w:rsid w:val="00BC40CB"/>
    <w:rsid w:val="00BC5078"/>
    <w:rsid w:val="00BC6723"/>
    <w:rsid w:val="00BC69F5"/>
    <w:rsid w:val="00BD1567"/>
    <w:rsid w:val="00BD214E"/>
    <w:rsid w:val="00BD36E5"/>
    <w:rsid w:val="00BD3AC4"/>
    <w:rsid w:val="00BD3E03"/>
    <w:rsid w:val="00BD52B6"/>
    <w:rsid w:val="00BD56DC"/>
    <w:rsid w:val="00BD60D4"/>
    <w:rsid w:val="00BD6F88"/>
    <w:rsid w:val="00BD7121"/>
    <w:rsid w:val="00BD72AE"/>
    <w:rsid w:val="00BD7DEF"/>
    <w:rsid w:val="00BE005A"/>
    <w:rsid w:val="00BE0D4B"/>
    <w:rsid w:val="00BE1D1A"/>
    <w:rsid w:val="00BE2003"/>
    <w:rsid w:val="00BE3245"/>
    <w:rsid w:val="00BE5738"/>
    <w:rsid w:val="00BE7C4C"/>
    <w:rsid w:val="00BF050E"/>
    <w:rsid w:val="00BF149E"/>
    <w:rsid w:val="00BF4076"/>
    <w:rsid w:val="00BF4270"/>
    <w:rsid w:val="00BF4317"/>
    <w:rsid w:val="00BF482C"/>
    <w:rsid w:val="00BF4952"/>
    <w:rsid w:val="00BF4F5D"/>
    <w:rsid w:val="00BF4F6E"/>
    <w:rsid w:val="00BF5C28"/>
    <w:rsid w:val="00BF6F93"/>
    <w:rsid w:val="00BF7498"/>
    <w:rsid w:val="00C00441"/>
    <w:rsid w:val="00C01483"/>
    <w:rsid w:val="00C0170B"/>
    <w:rsid w:val="00C019D7"/>
    <w:rsid w:val="00C02EF0"/>
    <w:rsid w:val="00C0464C"/>
    <w:rsid w:val="00C058E7"/>
    <w:rsid w:val="00C06284"/>
    <w:rsid w:val="00C07B8B"/>
    <w:rsid w:val="00C11C01"/>
    <w:rsid w:val="00C12737"/>
    <w:rsid w:val="00C138AA"/>
    <w:rsid w:val="00C14551"/>
    <w:rsid w:val="00C1489C"/>
    <w:rsid w:val="00C14A83"/>
    <w:rsid w:val="00C14ADC"/>
    <w:rsid w:val="00C14CBB"/>
    <w:rsid w:val="00C14D48"/>
    <w:rsid w:val="00C168B1"/>
    <w:rsid w:val="00C16C57"/>
    <w:rsid w:val="00C16DFB"/>
    <w:rsid w:val="00C17E24"/>
    <w:rsid w:val="00C20119"/>
    <w:rsid w:val="00C20635"/>
    <w:rsid w:val="00C2080A"/>
    <w:rsid w:val="00C20920"/>
    <w:rsid w:val="00C20CD5"/>
    <w:rsid w:val="00C21A44"/>
    <w:rsid w:val="00C22317"/>
    <w:rsid w:val="00C2355A"/>
    <w:rsid w:val="00C23877"/>
    <w:rsid w:val="00C23CF2"/>
    <w:rsid w:val="00C23DEC"/>
    <w:rsid w:val="00C24790"/>
    <w:rsid w:val="00C2768E"/>
    <w:rsid w:val="00C30F5C"/>
    <w:rsid w:val="00C317E8"/>
    <w:rsid w:val="00C32271"/>
    <w:rsid w:val="00C3297F"/>
    <w:rsid w:val="00C32AD4"/>
    <w:rsid w:val="00C32B84"/>
    <w:rsid w:val="00C33A80"/>
    <w:rsid w:val="00C33EAC"/>
    <w:rsid w:val="00C3421A"/>
    <w:rsid w:val="00C346CC"/>
    <w:rsid w:val="00C34FB3"/>
    <w:rsid w:val="00C3716B"/>
    <w:rsid w:val="00C37F41"/>
    <w:rsid w:val="00C40636"/>
    <w:rsid w:val="00C40E14"/>
    <w:rsid w:val="00C4310C"/>
    <w:rsid w:val="00C43A28"/>
    <w:rsid w:val="00C44A4E"/>
    <w:rsid w:val="00C44E49"/>
    <w:rsid w:val="00C45046"/>
    <w:rsid w:val="00C45474"/>
    <w:rsid w:val="00C45FB6"/>
    <w:rsid w:val="00C46430"/>
    <w:rsid w:val="00C4682A"/>
    <w:rsid w:val="00C468D8"/>
    <w:rsid w:val="00C519F4"/>
    <w:rsid w:val="00C52CC1"/>
    <w:rsid w:val="00C52E89"/>
    <w:rsid w:val="00C53754"/>
    <w:rsid w:val="00C544D0"/>
    <w:rsid w:val="00C551F9"/>
    <w:rsid w:val="00C557C0"/>
    <w:rsid w:val="00C56198"/>
    <w:rsid w:val="00C5753B"/>
    <w:rsid w:val="00C57F0E"/>
    <w:rsid w:val="00C6053F"/>
    <w:rsid w:val="00C60784"/>
    <w:rsid w:val="00C60BCB"/>
    <w:rsid w:val="00C61593"/>
    <w:rsid w:val="00C61957"/>
    <w:rsid w:val="00C61D9E"/>
    <w:rsid w:val="00C620B2"/>
    <w:rsid w:val="00C62119"/>
    <w:rsid w:val="00C6392E"/>
    <w:rsid w:val="00C639CA"/>
    <w:rsid w:val="00C63AEB"/>
    <w:rsid w:val="00C64593"/>
    <w:rsid w:val="00C6501B"/>
    <w:rsid w:val="00C65E91"/>
    <w:rsid w:val="00C66398"/>
    <w:rsid w:val="00C66AD2"/>
    <w:rsid w:val="00C674BC"/>
    <w:rsid w:val="00C6799C"/>
    <w:rsid w:val="00C7075A"/>
    <w:rsid w:val="00C722A7"/>
    <w:rsid w:val="00C72628"/>
    <w:rsid w:val="00C72D5C"/>
    <w:rsid w:val="00C73145"/>
    <w:rsid w:val="00C73652"/>
    <w:rsid w:val="00C7467F"/>
    <w:rsid w:val="00C74D82"/>
    <w:rsid w:val="00C75E60"/>
    <w:rsid w:val="00C774D2"/>
    <w:rsid w:val="00C80025"/>
    <w:rsid w:val="00C80543"/>
    <w:rsid w:val="00C81765"/>
    <w:rsid w:val="00C82039"/>
    <w:rsid w:val="00C8597D"/>
    <w:rsid w:val="00C85E08"/>
    <w:rsid w:val="00C914E2"/>
    <w:rsid w:val="00C9173F"/>
    <w:rsid w:val="00C91B13"/>
    <w:rsid w:val="00C91CEE"/>
    <w:rsid w:val="00C9250D"/>
    <w:rsid w:val="00C92E26"/>
    <w:rsid w:val="00C93DD0"/>
    <w:rsid w:val="00C962AF"/>
    <w:rsid w:val="00C967B6"/>
    <w:rsid w:val="00C96FA6"/>
    <w:rsid w:val="00C9719E"/>
    <w:rsid w:val="00C97488"/>
    <w:rsid w:val="00C979AE"/>
    <w:rsid w:val="00CA0C2E"/>
    <w:rsid w:val="00CA0E16"/>
    <w:rsid w:val="00CA1ED7"/>
    <w:rsid w:val="00CA2821"/>
    <w:rsid w:val="00CA28A4"/>
    <w:rsid w:val="00CA5C9E"/>
    <w:rsid w:val="00CA5CA3"/>
    <w:rsid w:val="00CA613A"/>
    <w:rsid w:val="00CA6ACA"/>
    <w:rsid w:val="00CA6D3C"/>
    <w:rsid w:val="00CB15B5"/>
    <w:rsid w:val="00CB3623"/>
    <w:rsid w:val="00CB4579"/>
    <w:rsid w:val="00CB46EC"/>
    <w:rsid w:val="00CB4DF9"/>
    <w:rsid w:val="00CB5724"/>
    <w:rsid w:val="00CB5BF6"/>
    <w:rsid w:val="00CB5CB6"/>
    <w:rsid w:val="00CB5DFF"/>
    <w:rsid w:val="00CB5FE2"/>
    <w:rsid w:val="00CB661C"/>
    <w:rsid w:val="00CB6F5F"/>
    <w:rsid w:val="00CB7134"/>
    <w:rsid w:val="00CB7E5C"/>
    <w:rsid w:val="00CC01AC"/>
    <w:rsid w:val="00CC089C"/>
    <w:rsid w:val="00CC15F9"/>
    <w:rsid w:val="00CC2544"/>
    <w:rsid w:val="00CC2FC5"/>
    <w:rsid w:val="00CC4A74"/>
    <w:rsid w:val="00CC4D68"/>
    <w:rsid w:val="00CC4F34"/>
    <w:rsid w:val="00CC65C0"/>
    <w:rsid w:val="00CC68B5"/>
    <w:rsid w:val="00CC6D0C"/>
    <w:rsid w:val="00CC7DA4"/>
    <w:rsid w:val="00CD0443"/>
    <w:rsid w:val="00CD0F8E"/>
    <w:rsid w:val="00CD156B"/>
    <w:rsid w:val="00CD3A1A"/>
    <w:rsid w:val="00CD4BD1"/>
    <w:rsid w:val="00CD57EC"/>
    <w:rsid w:val="00CD5C6C"/>
    <w:rsid w:val="00CD6350"/>
    <w:rsid w:val="00CD72D3"/>
    <w:rsid w:val="00CD76FB"/>
    <w:rsid w:val="00CD7C2E"/>
    <w:rsid w:val="00CE04DC"/>
    <w:rsid w:val="00CE051D"/>
    <w:rsid w:val="00CE10C2"/>
    <w:rsid w:val="00CE12F6"/>
    <w:rsid w:val="00CE253D"/>
    <w:rsid w:val="00CE29C6"/>
    <w:rsid w:val="00CE35FB"/>
    <w:rsid w:val="00CE4696"/>
    <w:rsid w:val="00CE5BAB"/>
    <w:rsid w:val="00CE5EC1"/>
    <w:rsid w:val="00CE60C4"/>
    <w:rsid w:val="00CE683F"/>
    <w:rsid w:val="00CE7140"/>
    <w:rsid w:val="00CF042E"/>
    <w:rsid w:val="00CF08EE"/>
    <w:rsid w:val="00CF0D04"/>
    <w:rsid w:val="00CF1AAE"/>
    <w:rsid w:val="00CF1D17"/>
    <w:rsid w:val="00CF20B1"/>
    <w:rsid w:val="00CF26FD"/>
    <w:rsid w:val="00CF43A4"/>
    <w:rsid w:val="00CF5006"/>
    <w:rsid w:val="00CF53E6"/>
    <w:rsid w:val="00CF55CE"/>
    <w:rsid w:val="00CF5A50"/>
    <w:rsid w:val="00CF5B2F"/>
    <w:rsid w:val="00CF69DD"/>
    <w:rsid w:val="00CF6BCA"/>
    <w:rsid w:val="00CF715C"/>
    <w:rsid w:val="00CF7827"/>
    <w:rsid w:val="00CF7AB4"/>
    <w:rsid w:val="00D0327B"/>
    <w:rsid w:val="00D05977"/>
    <w:rsid w:val="00D062F4"/>
    <w:rsid w:val="00D06DAA"/>
    <w:rsid w:val="00D07895"/>
    <w:rsid w:val="00D10F2D"/>
    <w:rsid w:val="00D1177F"/>
    <w:rsid w:val="00D1233D"/>
    <w:rsid w:val="00D1322B"/>
    <w:rsid w:val="00D13F80"/>
    <w:rsid w:val="00D14281"/>
    <w:rsid w:val="00D14978"/>
    <w:rsid w:val="00D1542A"/>
    <w:rsid w:val="00D171D9"/>
    <w:rsid w:val="00D2018E"/>
    <w:rsid w:val="00D21AD0"/>
    <w:rsid w:val="00D21BB3"/>
    <w:rsid w:val="00D22041"/>
    <w:rsid w:val="00D22A3C"/>
    <w:rsid w:val="00D22ABB"/>
    <w:rsid w:val="00D2323A"/>
    <w:rsid w:val="00D23459"/>
    <w:rsid w:val="00D23C12"/>
    <w:rsid w:val="00D24735"/>
    <w:rsid w:val="00D24AF0"/>
    <w:rsid w:val="00D24C5D"/>
    <w:rsid w:val="00D24CDD"/>
    <w:rsid w:val="00D24FBD"/>
    <w:rsid w:val="00D25E05"/>
    <w:rsid w:val="00D26304"/>
    <w:rsid w:val="00D265D4"/>
    <w:rsid w:val="00D26673"/>
    <w:rsid w:val="00D26BE7"/>
    <w:rsid w:val="00D304AE"/>
    <w:rsid w:val="00D30E87"/>
    <w:rsid w:val="00D30FBA"/>
    <w:rsid w:val="00D314A9"/>
    <w:rsid w:val="00D31A35"/>
    <w:rsid w:val="00D31B30"/>
    <w:rsid w:val="00D31E08"/>
    <w:rsid w:val="00D32053"/>
    <w:rsid w:val="00D32754"/>
    <w:rsid w:val="00D32AE5"/>
    <w:rsid w:val="00D33250"/>
    <w:rsid w:val="00D33E38"/>
    <w:rsid w:val="00D34648"/>
    <w:rsid w:val="00D34739"/>
    <w:rsid w:val="00D35CA4"/>
    <w:rsid w:val="00D364F3"/>
    <w:rsid w:val="00D3669E"/>
    <w:rsid w:val="00D367E2"/>
    <w:rsid w:val="00D36E94"/>
    <w:rsid w:val="00D37C3E"/>
    <w:rsid w:val="00D411F0"/>
    <w:rsid w:val="00D41D7B"/>
    <w:rsid w:val="00D436B7"/>
    <w:rsid w:val="00D45367"/>
    <w:rsid w:val="00D45F43"/>
    <w:rsid w:val="00D472F9"/>
    <w:rsid w:val="00D4783A"/>
    <w:rsid w:val="00D50E42"/>
    <w:rsid w:val="00D5114D"/>
    <w:rsid w:val="00D51737"/>
    <w:rsid w:val="00D51846"/>
    <w:rsid w:val="00D520A8"/>
    <w:rsid w:val="00D52865"/>
    <w:rsid w:val="00D532BE"/>
    <w:rsid w:val="00D534F7"/>
    <w:rsid w:val="00D555F0"/>
    <w:rsid w:val="00D5648B"/>
    <w:rsid w:val="00D566D7"/>
    <w:rsid w:val="00D56814"/>
    <w:rsid w:val="00D56BFB"/>
    <w:rsid w:val="00D575A7"/>
    <w:rsid w:val="00D608B3"/>
    <w:rsid w:val="00D61FEB"/>
    <w:rsid w:val="00D62496"/>
    <w:rsid w:val="00D63202"/>
    <w:rsid w:val="00D638F7"/>
    <w:rsid w:val="00D63C29"/>
    <w:rsid w:val="00D643F4"/>
    <w:rsid w:val="00D6503F"/>
    <w:rsid w:val="00D6595C"/>
    <w:rsid w:val="00D66498"/>
    <w:rsid w:val="00D66A85"/>
    <w:rsid w:val="00D671AD"/>
    <w:rsid w:val="00D70A5A"/>
    <w:rsid w:val="00D70DD5"/>
    <w:rsid w:val="00D72951"/>
    <w:rsid w:val="00D72ACF"/>
    <w:rsid w:val="00D73855"/>
    <w:rsid w:val="00D75262"/>
    <w:rsid w:val="00D75443"/>
    <w:rsid w:val="00D754B2"/>
    <w:rsid w:val="00D76D44"/>
    <w:rsid w:val="00D818F6"/>
    <w:rsid w:val="00D819E9"/>
    <w:rsid w:val="00D82D1B"/>
    <w:rsid w:val="00D82D3F"/>
    <w:rsid w:val="00D835B3"/>
    <w:rsid w:val="00D843A5"/>
    <w:rsid w:val="00D848E5"/>
    <w:rsid w:val="00D84C16"/>
    <w:rsid w:val="00D853D0"/>
    <w:rsid w:val="00D8577A"/>
    <w:rsid w:val="00D85843"/>
    <w:rsid w:val="00D8653B"/>
    <w:rsid w:val="00D87A95"/>
    <w:rsid w:val="00D90BF7"/>
    <w:rsid w:val="00D91AA7"/>
    <w:rsid w:val="00D925AF"/>
    <w:rsid w:val="00D93E32"/>
    <w:rsid w:val="00D94438"/>
    <w:rsid w:val="00D954EF"/>
    <w:rsid w:val="00D95F82"/>
    <w:rsid w:val="00D9670F"/>
    <w:rsid w:val="00D9688F"/>
    <w:rsid w:val="00D97209"/>
    <w:rsid w:val="00D97CA9"/>
    <w:rsid w:val="00DA0E93"/>
    <w:rsid w:val="00DA1FD7"/>
    <w:rsid w:val="00DA24F9"/>
    <w:rsid w:val="00DA25F8"/>
    <w:rsid w:val="00DA2C49"/>
    <w:rsid w:val="00DA3231"/>
    <w:rsid w:val="00DA3252"/>
    <w:rsid w:val="00DA3E85"/>
    <w:rsid w:val="00DA5683"/>
    <w:rsid w:val="00DA7C45"/>
    <w:rsid w:val="00DB0C9A"/>
    <w:rsid w:val="00DB237C"/>
    <w:rsid w:val="00DB4B96"/>
    <w:rsid w:val="00DB757F"/>
    <w:rsid w:val="00DC0EA0"/>
    <w:rsid w:val="00DC38C7"/>
    <w:rsid w:val="00DC3D3F"/>
    <w:rsid w:val="00DC483E"/>
    <w:rsid w:val="00DC594E"/>
    <w:rsid w:val="00DC5E07"/>
    <w:rsid w:val="00DC7B5E"/>
    <w:rsid w:val="00DD077D"/>
    <w:rsid w:val="00DD0930"/>
    <w:rsid w:val="00DD12FA"/>
    <w:rsid w:val="00DD27BF"/>
    <w:rsid w:val="00DD3080"/>
    <w:rsid w:val="00DD3DB1"/>
    <w:rsid w:val="00DD406C"/>
    <w:rsid w:val="00DD59F2"/>
    <w:rsid w:val="00DD60FB"/>
    <w:rsid w:val="00DD658D"/>
    <w:rsid w:val="00DD7BB6"/>
    <w:rsid w:val="00DE0C29"/>
    <w:rsid w:val="00DE10FA"/>
    <w:rsid w:val="00DE19F9"/>
    <w:rsid w:val="00DE1FB0"/>
    <w:rsid w:val="00DE22C6"/>
    <w:rsid w:val="00DE240F"/>
    <w:rsid w:val="00DE36A6"/>
    <w:rsid w:val="00DE4111"/>
    <w:rsid w:val="00DE421E"/>
    <w:rsid w:val="00DE4BB2"/>
    <w:rsid w:val="00DE5FA6"/>
    <w:rsid w:val="00DF03E1"/>
    <w:rsid w:val="00DF04A6"/>
    <w:rsid w:val="00DF1281"/>
    <w:rsid w:val="00DF1C4C"/>
    <w:rsid w:val="00DF330F"/>
    <w:rsid w:val="00DF3CA5"/>
    <w:rsid w:val="00DF3CD9"/>
    <w:rsid w:val="00DF404E"/>
    <w:rsid w:val="00DF68D4"/>
    <w:rsid w:val="00DF7EA7"/>
    <w:rsid w:val="00E00280"/>
    <w:rsid w:val="00E01044"/>
    <w:rsid w:val="00E013E8"/>
    <w:rsid w:val="00E0145B"/>
    <w:rsid w:val="00E02D56"/>
    <w:rsid w:val="00E03EB0"/>
    <w:rsid w:val="00E0404D"/>
    <w:rsid w:val="00E04848"/>
    <w:rsid w:val="00E0579C"/>
    <w:rsid w:val="00E07329"/>
    <w:rsid w:val="00E07571"/>
    <w:rsid w:val="00E07F39"/>
    <w:rsid w:val="00E10627"/>
    <w:rsid w:val="00E110F4"/>
    <w:rsid w:val="00E115B7"/>
    <w:rsid w:val="00E11A42"/>
    <w:rsid w:val="00E121F1"/>
    <w:rsid w:val="00E12AEC"/>
    <w:rsid w:val="00E155FC"/>
    <w:rsid w:val="00E16CA6"/>
    <w:rsid w:val="00E202A1"/>
    <w:rsid w:val="00E20545"/>
    <w:rsid w:val="00E2062A"/>
    <w:rsid w:val="00E20636"/>
    <w:rsid w:val="00E23530"/>
    <w:rsid w:val="00E24885"/>
    <w:rsid w:val="00E26518"/>
    <w:rsid w:val="00E26CE9"/>
    <w:rsid w:val="00E277C0"/>
    <w:rsid w:val="00E27887"/>
    <w:rsid w:val="00E27BFA"/>
    <w:rsid w:val="00E30037"/>
    <w:rsid w:val="00E30539"/>
    <w:rsid w:val="00E312CA"/>
    <w:rsid w:val="00E32A9D"/>
    <w:rsid w:val="00E32AC4"/>
    <w:rsid w:val="00E33183"/>
    <w:rsid w:val="00E33F02"/>
    <w:rsid w:val="00E34F9D"/>
    <w:rsid w:val="00E3569C"/>
    <w:rsid w:val="00E35C93"/>
    <w:rsid w:val="00E36A8B"/>
    <w:rsid w:val="00E372CF"/>
    <w:rsid w:val="00E4099D"/>
    <w:rsid w:val="00E428F8"/>
    <w:rsid w:val="00E42ECA"/>
    <w:rsid w:val="00E467D1"/>
    <w:rsid w:val="00E46F0A"/>
    <w:rsid w:val="00E47102"/>
    <w:rsid w:val="00E47D69"/>
    <w:rsid w:val="00E47D72"/>
    <w:rsid w:val="00E514D0"/>
    <w:rsid w:val="00E51C6B"/>
    <w:rsid w:val="00E52332"/>
    <w:rsid w:val="00E52BD6"/>
    <w:rsid w:val="00E537D6"/>
    <w:rsid w:val="00E54478"/>
    <w:rsid w:val="00E54768"/>
    <w:rsid w:val="00E54DD6"/>
    <w:rsid w:val="00E54E33"/>
    <w:rsid w:val="00E5596A"/>
    <w:rsid w:val="00E55FFE"/>
    <w:rsid w:val="00E570DF"/>
    <w:rsid w:val="00E61AEA"/>
    <w:rsid w:val="00E62F5B"/>
    <w:rsid w:val="00E636D4"/>
    <w:rsid w:val="00E63A05"/>
    <w:rsid w:val="00E63F81"/>
    <w:rsid w:val="00E6462D"/>
    <w:rsid w:val="00E6482C"/>
    <w:rsid w:val="00E656A2"/>
    <w:rsid w:val="00E666CD"/>
    <w:rsid w:val="00E66F1B"/>
    <w:rsid w:val="00E678D7"/>
    <w:rsid w:val="00E71EF6"/>
    <w:rsid w:val="00E724A8"/>
    <w:rsid w:val="00E72D8F"/>
    <w:rsid w:val="00E73865"/>
    <w:rsid w:val="00E7392C"/>
    <w:rsid w:val="00E73CEB"/>
    <w:rsid w:val="00E75FAD"/>
    <w:rsid w:val="00E77333"/>
    <w:rsid w:val="00E80545"/>
    <w:rsid w:val="00E8106C"/>
    <w:rsid w:val="00E81252"/>
    <w:rsid w:val="00E814CA"/>
    <w:rsid w:val="00E81F49"/>
    <w:rsid w:val="00E82496"/>
    <w:rsid w:val="00E82854"/>
    <w:rsid w:val="00E83F01"/>
    <w:rsid w:val="00E85350"/>
    <w:rsid w:val="00E86F27"/>
    <w:rsid w:val="00E900A5"/>
    <w:rsid w:val="00E907AC"/>
    <w:rsid w:val="00E91386"/>
    <w:rsid w:val="00E91AD3"/>
    <w:rsid w:val="00E91C55"/>
    <w:rsid w:val="00E92715"/>
    <w:rsid w:val="00E929C4"/>
    <w:rsid w:val="00E93E00"/>
    <w:rsid w:val="00E95EE1"/>
    <w:rsid w:val="00EA0217"/>
    <w:rsid w:val="00EA134A"/>
    <w:rsid w:val="00EA13A8"/>
    <w:rsid w:val="00EA34F8"/>
    <w:rsid w:val="00EA35C1"/>
    <w:rsid w:val="00EA4B7C"/>
    <w:rsid w:val="00EA4ED5"/>
    <w:rsid w:val="00EA5721"/>
    <w:rsid w:val="00EA6EFE"/>
    <w:rsid w:val="00EA7189"/>
    <w:rsid w:val="00EB025D"/>
    <w:rsid w:val="00EB08A1"/>
    <w:rsid w:val="00EB1AA7"/>
    <w:rsid w:val="00EB1AB7"/>
    <w:rsid w:val="00EB2F34"/>
    <w:rsid w:val="00EB2F83"/>
    <w:rsid w:val="00EB3F0D"/>
    <w:rsid w:val="00EB4C41"/>
    <w:rsid w:val="00EB73D9"/>
    <w:rsid w:val="00EC0956"/>
    <w:rsid w:val="00EC25DB"/>
    <w:rsid w:val="00EC48DD"/>
    <w:rsid w:val="00EC5764"/>
    <w:rsid w:val="00EC5A37"/>
    <w:rsid w:val="00EC72D1"/>
    <w:rsid w:val="00EC7448"/>
    <w:rsid w:val="00ED0274"/>
    <w:rsid w:val="00ED048C"/>
    <w:rsid w:val="00ED092D"/>
    <w:rsid w:val="00ED310C"/>
    <w:rsid w:val="00ED4389"/>
    <w:rsid w:val="00ED4452"/>
    <w:rsid w:val="00ED49A8"/>
    <w:rsid w:val="00ED52A6"/>
    <w:rsid w:val="00ED5A90"/>
    <w:rsid w:val="00ED6153"/>
    <w:rsid w:val="00ED6521"/>
    <w:rsid w:val="00ED720A"/>
    <w:rsid w:val="00ED7D7E"/>
    <w:rsid w:val="00EE0BDA"/>
    <w:rsid w:val="00EE0ED0"/>
    <w:rsid w:val="00EE0FAB"/>
    <w:rsid w:val="00EE1737"/>
    <w:rsid w:val="00EE1C88"/>
    <w:rsid w:val="00EE2E62"/>
    <w:rsid w:val="00EE3EF0"/>
    <w:rsid w:val="00EE414D"/>
    <w:rsid w:val="00EE496E"/>
    <w:rsid w:val="00EE52D9"/>
    <w:rsid w:val="00EE533A"/>
    <w:rsid w:val="00EE6592"/>
    <w:rsid w:val="00EE65E8"/>
    <w:rsid w:val="00EE70B4"/>
    <w:rsid w:val="00EE7A6E"/>
    <w:rsid w:val="00EF018A"/>
    <w:rsid w:val="00EF0909"/>
    <w:rsid w:val="00EF1C05"/>
    <w:rsid w:val="00EF1DEB"/>
    <w:rsid w:val="00EF2C79"/>
    <w:rsid w:val="00EF38BA"/>
    <w:rsid w:val="00EF558D"/>
    <w:rsid w:val="00EF56EF"/>
    <w:rsid w:val="00EF5CED"/>
    <w:rsid w:val="00EF6BC1"/>
    <w:rsid w:val="00F021B5"/>
    <w:rsid w:val="00F027B0"/>
    <w:rsid w:val="00F02C82"/>
    <w:rsid w:val="00F02D4D"/>
    <w:rsid w:val="00F03019"/>
    <w:rsid w:val="00F036B4"/>
    <w:rsid w:val="00F03A72"/>
    <w:rsid w:val="00F04112"/>
    <w:rsid w:val="00F047FF"/>
    <w:rsid w:val="00F04E95"/>
    <w:rsid w:val="00F05C41"/>
    <w:rsid w:val="00F05CAF"/>
    <w:rsid w:val="00F10336"/>
    <w:rsid w:val="00F1116B"/>
    <w:rsid w:val="00F1140B"/>
    <w:rsid w:val="00F1246A"/>
    <w:rsid w:val="00F12908"/>
    <w:rsid w:val="00F13399"/>
    <w:rsid w:val="00F141CB"/>
    <w:rsid w:val="00F150A9"/>
    <w:rsid w:val="00F154AA"/>
    <w:rsid w:val="00F154C2"/>
    <w:rsid w:val="00F16435"/>
    <w:rsid w:val="00F16DDD"/>
    <w:rsid w:val="00F17DE3"/>
    <w:rsid w:val="00F201FA"/>
    <w:rsid w:val="00F2057E"/>
    <w:rsid w:val="00F20B94"/>
    <w:rsid w:val="00F20C39"/>
    <w:rsid w:val="00F21944"/>
    <w:rsid w:val="00F21BDE"/>
    <w:rsid w:val="00F21D71"/>
    <w:rsid w:val="00F238E8"/>
    <w:rsid w:val="00F26070"/>
    <w:rsid w:val="00F27667"/>
    <w:rsid w:val="00F30335"/>
    <w:rsid w:val="00F30C58"/>
    <w:rsid w:val="00F312DC"/>
    <w:rsid w:val="00F31EBD"/>
    <w:rsid w:val="00F32ABF"/>
    <w:rsid w:val="00F3317B"/>
    <w:rsid w:val="00F33E74"/>
    <w:rsid w:val="00F4051A"/>
    <w:rsid w:val="00F419BA"/>
    <w:rsid w:val="00F42579"/>
    <w:rsid w:val="00F43F35"/>
    <w:rsid w:val="00F44B61"/>
    <w:rsid w:val="00F45CA1"/>
    <w:rsid w:val="00F47E6F"/>
    <w:rsid w:val="00F5182B"/>
    <w:rsid w:val="00F51C0B"/>
    <w:rsid w:val="00F51DA3"/>
    <w:rsid w:val="00F52E30"/>
    <w:rsid w:val="00F52F1D"/>
    <w:rsid w:val="00F53C54"/>
    <w:rsid w:val="00F5408A"/>
    <w:rsid w:val="00F54686"/>
    <w:rsid w:val="00F55C0D"/>
    <w:rsid w:val="00F5624D"/>
    <w:rsid w:val="00F56431"/>
    <w:rsid w:val="00F57CE3"/>
    <w:rsid w:val="00F57D6E"/>
    <w:rsid w:val="00F61A20"/>
    <w:rsid w:val="00F62261"/>
    <w:rsid w:val="00F623A3"/>
    <w:rsid w:val="00F626A6"/>
    <w:rsid w:val="00F6376B"/>
    <w:rsid w:val="00F66386"/>
    <w:rsid w:val="00F6676A"/>
    <w:rsid w:val="00F66A2A"/>
    <w:rsid w:val="00F66F6E"/>
    <w:rsid w:val="00F67C9B"/>
    <w:rsid w:val="00F67E18"/>
    <w:rsid w:val="00F70F4D"/>
    <w:rsid w:val="00F70FBA"/>
    <w:rsid w:val="00F72CE0"/>
    <w:rsid w:val="00F73125"/>
    <w:rsid w:val="00F73528"/>
    <w:rsid w:val="00F73885"/>
    <w:rsid w:val="00F7508B"/>
    <w:rsid w:val="00F75632"/>
    <w:rsid w:val="00F76E41"/>
    <w:rsid w:val="00F80509"/>
    <w:rsid w:val="00F810E3"/>
    <w:rsid w:val="00F82589"/>
    <w:rsid w:val="00F83E8B"/>
    <w:rsid w:val="00F8412D"/>
    <w:rsid w:val="00F84DDC"/>
    <w:rsid w:val="00F854D8"/>
    <w:rsid w:val="00F8559B"/>
    <w:rsid w:val="00F85D09"/>
    <w:rsid w:val="00F86F83"/>
    <w:rsid w:val="00F87E40"/>
    <w:rsid w:val="00F91727"/>
    <w:rsid w:val="00F924BA"/>
    <w:rsid w:val="00F932E0"/>
    <w:rsid w:val="00F93C6A"/>
    <w:rsid w:val="00F95352"/>
    <w:rsid w:val="00F95622"/>
    <w:rsid w:val="00F96877"/>
    <w:rsid w:val="00F97618"/>
    <w:rsid w:val="00F9798C"/>
    <w:rsid w:val="00F97CE8"/>
    <w:rsid w:val="00F97F20"/>
    <w:rsid w:val="00FA05F9"/>
    <w:rsid w:val="00FA0E7C"/>
    <w:rsid w:val="00FA369E"/>
    <w:rsid w:val="00FA4001"/>
    <w:rsid w:val="00FA41AF"/>
    <w:rsid w:val="00FA54D5"/>
    <w:rsid w:val="00FA590D"/>
    <w:rsid w:val="00FA6128"/>
    <w:rsid w:val="00FA7520"/>
    <w:rsid w:val="00FA7BD1"/>
    <w:rsid w:val="00FB06D2"/>
    <w:rsid w:val="00FB07C5"/>
    <w:rsid w:val="00FB0E07"/>
    <w:rsid w:val="00FB0E38"/>
    <w:rsid w:val="00FB2614"/>
    <w:rsid w:val="00FB29F1"/>
    <w:rsid w:val="00FB30F0"/>
    <w:rsid w:val="00FB36DB"/>
    <w:rsid w:val="00FB4B5C"/>
    <w:rsid w:val="00FB5A40"/>
    <w:rsid w:val="00FB62A2"/>
    <w:rsid w:val="00FB78C1"/>
    <w:rsid w:val="00FC00AB"/>
    <w:rsid w:val="00FC0339"/>
    <w:rsid w:val="00FC06B5"/>
    <w:rsid w:val="00FC0834"/>
    <w:rsid w:val="00FC0F7A"/>
    <w:rsid w:val="00FC18B5"/>
    <w:rsid w:val="00FC1A4F"/>
    <w:rsid w:val="00FC2131"/>
    <w:rsid w:val="00FC3A14"/>
    <w:rsid w:val="00FC5436"/>
    <w:rsid w:val="00FC5B81"/>
    <w:rsid w:val="00FC5E91"/>
    <w:rsid w:val="00FC60AD"/>
    <w:rsid w:val="00FC6415"/>
    <w:rsid w:val="00FC6A29"/>
    <w:rsid w:val="00FD1582"/>
    <w:rsid w:val="00FD1B21"/>
    <w:rsid w:val="00FD2CFB"/>
    <w:rsid w:val="00FD3A27"/>
    <w:rsid w:val="00FD3BB3"/>
    <w:rsid w:val="00FD49F1"/>
    <w:rsid w:val="00FD5D78"/>
    <w:rsid w:val="00FD67A8"/>
    <w:rsid w:val="00FD69F3"/>
    <w:rsid w:val="00FD707F"/>
    <w:rsid w:val="00FD7C43"/>
    <w:rsid w:val="00FE03CB"/>
    <w:rsid w:val="00FE1093"/>
    <w:rsid w:val="00FE287C"/>
    <w:rsid w:val="00FE33DC"/>
    <w:rsid w:val="00FE35DD"/>
    <w:rsid w:val="00FE4DBE"/>
    <w:rsid w:val="00FE651A"/>
    <w:rsid w:val="00FE66A6"/>
    <w:rsid w:val="00FE7111"/>
    <w:rsid w:val="00FE79A0"/>
    <w:rsid w:val="00FF0DC1"/>
    <w:rsid w:val="00FF10D6"/>
    <w:rsid w:val="00FF133B"/>
    <w:rsid w:val="00FF1D95"/>
    <w:rsid w:val="00FF3A08"/>
    <w:rsid w:val="00FF3BCC"/>
    <w:rsid w:val="00FF440B"/>
    <w:rsid w:val="00FF5523"/>
    <w:rsid w:val="00FF5539"/>
    <w:rsid w:val="00FF615A"/>
    <w:rsid w:val="00FF62BC"/>
    <w:rsid w:val="00FF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BC1"/>
  <w15:docId w15:val="{E02BC298-EE24-E143-88E8-00C3674C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paragraph" w:styleId="Heading2">
    <w:name w:val="heading 2"/>
    <w:basedOn w:val="Normal"/>
    <w:link w:val="Heading2Char"/>
    <w:uiPriority w:val="9"/>
    <w:qFormat/>
    <w:rsid w:val="00290787"/>
    <w:pPr>
      <w:suppressAutoHyphens w:val="0"/>
      <w:autoSpaceDN/>
      <w:spacing w:before="100" w:beforeAutospacing="1" w:after="100" w:afterAutospacing="1"/>
      <w:textAlignment w:val="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pacing w:val="-3"/>
      <w:szCs w:val="20"/>
      <w:u w:val="single"/>
    </w:rPr>
  </w:style>
  <w:style w:type="paragraph" w:customStyle="1" w:styleId="CoverText">
    <w:name w:val="CoverText"/>
    <w:basedOn w:val="Normal"/>
    <w:pPr>
      <w:jc w:val="right"/>
    </w:pPr>
    <w:rPr>
      <w:szCs w:val="20"/>
      <w:u w:val="single"/>
    </w:rPr>
  </w:style>
  <w:style w:type="paragraph" w:styleId="Footer">
    <w:name w:val="footer"/>
    <w:basedOn w:val="Normal"/>
    <w:pPr>
      <w:tabs>
        <w:tab w:val="center" w:pos="4153"/>
        <w:tab w:val="right" w:pos="8306"/>
      </w:tabs>
    </w:pPr>
    <w:rPr>
      <w:rFonts w:ascii="Univers (W1)" w:hAnsi="Univers (W1)"/>
      <w:szCs w:val="20"/>
    </w:rPr>
  </w:style>
  <w:style w:type="character" w:customStyle="1" w:styleId="FooterChar">
    <w:name w:val="Footer Char"/>
    <w:basedOn w:val="DefaultParagraphFont"/>
    <w:rPr>
      <w:rFonts w:ascii="Univers (W1)" w:eastAsia="Times New Roman" w:hAnsi="Univers (W1)" w:cs="Times New Roman"/>
      <w:sz w:val="24"/>
      <w:szCs w:val="20"/>
    </w:rPr>
  </w:style>
  <w:style w:type="paragraph" w:styleId="FootnoteText">
    <w:name w:val="footnote text"/>
    <w:basedOn w:val="Normal"/>
    <w:link w:val="FootnoteTextChar"/>
    <w:uiPriority w:val="99"/>
    <w:unhideWhenUsed/>
    <w:rsid w:val="00CF1D17"/>
    <w:rPr>
      <w:sz w:val="20"/>
      <w:szCs w:val="20"/>
    </w:rPr>
  </w:style>
  <w:style w:type="character" w:customStyle="1" w:styleId="FootnoteTextChar">
    <w:name w:val="Footnote Text Char"/>
    <w:basedOn w:val="DefaultParagraphFont"/>
    <w:link w:val="FootnoteText"/>
    <w:uiPriority w:val="99"/>
    <w:rsid w:val="00CF1D17"/>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CF1D17"/>
    <w:rPr>
      <w:vertAlign w:val="superscript"/>
    </w:rPr>
  </w:style>
  <w:style w:type="table" w:styleId="TableGrid">
    <w:name w:val="Table Grid"/>
    <w:basedOn w:val="TableNormal"/>
    <w:uiPriority w:val="39"/>
    <w:rsid w:val="00CF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4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DD"/>
    <w:rPr>
      <w:rFonts w:ascii="Segoe UI" w:eastAsia="Times New Roman" w:hAnsi="Segoe UI" w:cs="Segoe UI"/>
      <w:sz w:val="18"/>
      <w:szCs w:val="18"/>
    </w:rPr>
  </w:style>
  <w:style w:type="paragraph" w:styleId="ListParagraph">
    <w:name w:val="List Paragraph"/>
    <w:basedOn w:val="Normal"/>
    <w:uiPriority w:val="34"/>
    <w:qFormat/>
    <w:rsid w:val="005707F4"/>
    <w:pPr>
      <w:ind w:left="720"/>
      <w:contextualSpacing/>
    </w:pPr>
  </w:style>
  <w:style w:type="character" w:styleId="PageNumber">
    <w:name w:val="page number"/>
    <w:basedOn w:val="DefaultParagraphFont"/>
    <w:uiPriority w:val="99"/>
    <w:semiHidden/>
    <w:unhideWhenUsed/>
    <w:rsid w:val="00C2080A"/>
  </w:style>
  <w:style w:type="paragraph" w:styleId="Header">
    <w:name w:val="header"/>
    <w:basedOn w:val="Normal"/>
    <w:link w:val="HeaderChar"/>
    <w:uiPriority w:val="99"/>
    <w:unhideWhenUsed/>
    <w:rsid w:val="00C2080A"/>
    <w:pPr>
      <w:tabs>
        <w:tab w:val="center" w:pos="4680"/>
        <w:tab w:val="right" w:pos="9360"/>
      </w:tabs>
    </w:pPr>
  </w:style>
  <w:style w:type="character" w:customStyle="1" w:styleId="HeaderChar">
    <w:name w:val="Header Char"/>
    <w:basedOn w:val="DefaultParagraphFont"/>
    <w:link w:val="Header"/>
    <w:uiPriority w:val="99"/>
    <w:rsid w:val="00C2080A"/>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90787"/>
    <w:rPr>
      <w:rFonts w:ascii="Times New Roman" w:eastAsia="Times New Roman" w:hAnsi="Times New Roman"/>
      <w:b/>
      <w:bCs/>
      <w:sz w:val="36"/>
      <w:szCs w:val="36"/>
      <w:lang w:eastAsia="en-GB"/>
    </w:rPr>
  </w:style>
  <w:style w:type="paragraph" w:styleId="NormalWeb">
    <w:name w:val="Normal (Web)"/>
    <w:basedOn w:val="Normal"/>
    <w:uiPriority w:val="99"/>
    <w:semiHidden/>
    <w:unhideWhenUsed/>
    <w:rsid w:val="00290787"/>
    <w:pPr>
      <w:suppressAutoHyphens w:val="0"/>
      <w:autoSpaceDN/>
      <w:spacing w:before="100" w:beforeAutospacing="1" w:after="100" w:afterAutospacing="1"/>
      <w:textAlignment w:val="auto"/>
    </w:pPr>
    <w:rPr>
      <w:lang w:eastAsia="en-GB"/>
    </w:rPr>
  </w:style>
  <w:style w:type="character" w:styleId="Hyperlink">
    <w:name w:val="Hyperlink"/>
    <w:basedOn w:val="DefaultParagraphFont"/>
    <w:uiPriority w:val="99"/>
    <w:unhideWhenUsed/>
    <w:rsid w:val="00290787"/>
    <w:rPr>
      <w:color w:val="0000FF"/>
      <w:u w:val="single"/>
    </w:rPr>
  </w:style>
  <w:style w:type="character" w:styleId="Emphasis">
    <w:name w:val="Emphasis"/>
    <w:basedOn w:val="DefaultParagraphFont"/>
    <w:uiPriority w:val="20"/>
    <w:qFormat/>
    <w:rsid w:val="00D14281"/>
    <w:rPr>
      <w:i/>
      <w:iCs/>
    </w:rPr>
  </w:style>
  <w:style w:type="character" w:styleId="CommentReference">
    <w:name w:val="annotation reference"/>
    <w:basedOn w:val="DefaultParagraphFont"/>
    <w:uiPriority w:val="99"/>
    <w:semiHidden/>
    <w:unhideWhenUsed/>
    <w:rsid w:val="00CF0D04"/>
    <w:rPr>
      <w:sz w:val="16"/>
      <w:szCs w:val="16"/>
    </w:rPr>
  </w:style>
  <w:style w:type="paragraph" w:styleId="CommentText">
    <w:name w:val="annotation text"/>
    <w:basedOn w:val="Normal"/>
    <w:link w:val="CommentTextChar"/>
    <w:uiPriority w:val="99"/>
    <w:semiHidden/>
    <w:unhideWhenUsed/>
    <w:rsid w:val="00CF0D04"/>
    <w:rPr>
      <w:sz w:val="20"/>
      <w:szCs w:val="20"/>
    </w:rPr>
  </w:style>
  <w:style w:type="character" w:customStyle="1" w:styleId="CommentTextChar">
    <w:name w:val="Comment Text Char"/>
    <w:basedOn w:val="DefaultParagraphFont"/>
    <w:link w:val="CommentText"/>
    <w:uiPriority w:val="99"/>
    <w:semiHidden/>
    <w:rsid w:val="00CF0D04"/>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D04"/>
    <w:rPr>
      <w:b/>
      <w:bCs/>
    </w:rPr>
  </w:style>
  <w:style w:type="character" w:customStyle="1" w:styleId="CommentSubjectChar">
    <w:name w:val="Comment Subject Char"/>
    <w:basedOn w:val="CommentTextChar"/>
    <w:link w:val="CommentSubject"/>
    <w:uiPriority w:val="99"/>
    <w:semiHidden/>
    <w:rsid w:val="00CF0D04"/>
    <w:rPr>
      <w:rFonts w:ascii="Times New Roman" w:eastAsia="Times New Roman" w:hAnsi="Times New Roman"/>
      <w:b/>
      <w:bCs/>
      <w:sz w:val="20"/>
      <w:szCs w:val="20"/>
    </w:rPr>
  </w:style>
  <w:style w:type="character" w:styleId="UnresolvedMention">
    <w:name w:val="Unresolved Mention"/>
    <w:basedOn w:val="DefaultParagraphFont"/>
    <w:uiPriority w:val="99"/>
    <w:semiHidden/>
    <w:unhideWhenUsed/>
    <w:rsid w:val="0062312F"/>
    <w:rPr>
      <w:color w:val="605E5C"/>
      <w:shd w:val="clear" w:color="auto" w:fill="E1DFDD"/>
    </w:rPr>
  </w:style>
  <w:style w:type="character" w:customStyle="1" w:styleId="counderline">
    <w:name w:val="co_underline"/>
    <w:basedOn w:val="DefaultParagraphFont"/>
    <w:rsid w:val="00AB46AD"/>
  </w:style>
  <w:style w:type="character" w:styleId="Strong">
    <w:name w:val="Strong"/>
    <w:basedOn w:val="DefaultParagraphFont"/>
    <w:uiPriority w:val="22"/>
    <w:qFormat/>
    <w:rsid w:val="00AB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3050">
      <w:bodyDiv w:val="1"/>
      <w:marLeft w:val="0"/>
      <w:marRight w:val="0"/>
      <w:marTop w:val="0"/>
      <w:marBottom w:val="0"/>
      <w:divBdr>
        <w:top w:val="none" w:sz="0" w:space="0" w:color="auto"/>
        <w:left w:val="none" w:sz="0" w:space="0" w:color="auto"/>
        <w:bottom w:val="none" w:sz="0" w:space="0" w:color="auto"/>
        <w:right w:val="none" w:sz="0" w:space="0" w:color="auto"/>
      </w:divBdr>
      <w:divsChild>
        <w:div w:id="369112627">
          <w:marLeft w:val="0"/>
          <w:marRight w:val="0"/>
          <w:marTop w:val="0"/>
          <w:marBottom w:val="0"/>
          <w:divBdr>
            <w:top w:val="none" w:sz="0" w:space="0" w:color="auto"/>
            <w:left w:val="none" w:sz="0" w:space="0" w:color="auto"/>
            <w:bottom w:val="none" w:sz="0" w:space="0" w:color="auto"/>
            <w:right w:val="none" w:sz="0" w:space="0" w:color="auto"/>
          </w:divBdr>
        </w:div>
        <w:div w:id="989094015">
          <w:marLeft w:val="0"/>
          <w:marRight w:val="0"/>
          <w:marTop w:val="0"/>
          <w:marBottom w:val="0"/>
          <w:divBdr>
            <w:top w:val="none" w:sz="0" w:space="0" w:color="auto"/>
            <w:left w:val="none" w:sz="0" w:space="0" w:color="auto"/>
            <w:bottom w:val="none" w:sz="0" w:space="0" w:color="auto"/>
            <w:right w:val="none" w:sz="0" w:space="0" w:color="auto"/>
          </w:divBdr>
          <w:divsChild>
            <w:div w:id="1745835978">
              <w:marLeft w:val="0"/>
              <w:marRight w:val="0"/>
              <w:marTop w:val="0"/>
              <w:marBottom w:val="0"/>
              <w:divBdr>
                <w:top w:val="none" w:sz="0" w:space="0" w:color="auto"/>
                <w:left w:val="none" w:sz="0" w:space="0" w:color="auto"/>
                <w:bottom w:val="none" w:sz="0" w:space="0" w:color="auto"/>
                <w:right w:val="none" w:sz="0" w:space="0" w:color="auto"/>
              </w:divBdr>
            </w:div>
            <w:div w:id="551638">
              <w:marLeft w:val="0"/>
              <w:marRight w:val="0"/>
              <w:marTop w:val="0"/>
              <w:marBottom w:val="0"/>
              <w:divBdr>
                <w:top w:val="none" w:sz="0" w:space="0" w:color="auto"/>
                <w:left w:val="none" w:sz="0" w:space="0" w:color="auto"/>
                <w:bottom w:val="none" w:sz="0" w:space="0" w:color="auto"/>
                <w:right w:val="none" w:sz="0" w:space="0" w:color="auto"/>
              </w:divBdr>
            </w:div>
          </w:divsChild>
        </w:div>
        <w:div w:id="263998169">
          <w:marLeft w:val="0"/>
          <w:marRight w:val="0"/>
          <w:marTop w:val="0"/>
          <w:marBottom w:val="0"/>
          <w:divBdr>
            <w:top w:val="none" w:sz="0" w:space="0" w:color="auto"/>
            <w:left w:val="none" w:sz="0" w:space="0" w:color="auto"/>
            <w:bottom w:val="none" w:sz="0" w:space="0" w:color="auto"/>
            <w:right w:val="none" w:sz="0" w:space="0" w:color="auto"/>
          </w:divBdr>
        </w:div>
        <w:div w:id="1920674666">
          <w:marLeft w:val="0"/>
          <w:marRight w:val="0"/>
          <w:marTop w:val="0"/>
          <w:marBottom w:val="0"/>
          <w:divBdr>
            <w:top w:val="none" w:sz="0" w:space="0" w:color="auto"/>
            <w:left w:val="none" w:sz="0" w:space="0" w:color="auto"/>
            <w:bottom w:val="none" w:sz="0" w:space="0" w:color="auto"/>
            <w:right w:val="none" w:sz="0" w:space="0" w:color="auto"/>
          </w:divBdr>
        </w:div>
        <w:div w:id="916134961">
          <w:marLeft w:val="0"/>
          <w:marRight w:val="0"/>
          <w:marTop w:val="0"/>
          <w:marBottom w:val="0"/>
          <w:divBdr>
            <w:top w:val="none" w:sz="0" w:space="0" w:color="auto"/>
            <w:left w:val="none" w:sz="0" w:space="0" w:color="auto"/>
            <w:bottom w:val="none" w:sz="0" w:space="0" w:color="auto"/>
            <w:right w:val="none" w:sz="0" w:space="0" w:color="auto"/>
          </w:divBdr>
          <w:divsChild>
            <w:div w:id="5321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452">
      <w:bodyDiv w:val="1"/>
      <w:marLeft w:val="0"/>
      <w:marRight w:val="0"/>
      <w:marTop w:val="0"/>
      <w:marBottom w:val="0"/>
      <w:divBdr>
        <w:top w:val="none" w:sz="0" w:space="0" w:color="auto"/>
        <w:left w:val="none" w:sz="0" w:space="0" w:color="auto"/>
        <w:bottom w:val="none" w:sz="0" w:space="0" w:color="auto"/>
        <w:right w:val="none" w:sz="0" w:space="0" w:color="auto"/>
      </w:divBdr>
      <w:divsChild>
        <w:div w:id="1907909565">
          <w:marLeft w:val="0"/>
          <w:marRight w:val="0"/>
          <w:marTop w:val="0"/>
          <w:marBottom w:val="0"/>
          <w:divBdr>
            <w:top w:val="none" w:sz="0" w:space="0" w:color="auto"/>
            <w:left w:val="none" w:sz="0" w:space="0" w:color="auto"/>
            <w:bottom w:val="none" w:sz="0" w:space="0" w:color="auto"/>
            <w:right w:val="none" w:sz="0" w:space="0" w:color="auto"/>
          </w:divBdr>
        </w:div>
        <w:div w:id="1511137442">
          <w:marLeft w:val="0"/>
          <w:marRight w:val="0"/>
          <w:marTop w:val="0"/>
          <w:marBottom w:val="0"/>
          <w:divBdr>
            <w:top w:val="none" w:sz="0" w:space="0" w:color="auto"/>
            <w:left w:val="none" w:sz="0" w:space="0" w:color="auto"/>
            <w:bottom w:val="none" w:sz="0" w:space="0" w:color="auto"/>
            <w:right w:val="none" w:sz="0" w:space="0" w:color="auto"/>
          </w:divBdr>
          <w:divsChild>
            <w:div w:id="1679499655">
              <w:marLeft w:val="0"/>
              <w:marRight w:val="0"/>
              <w:marTop w:val="0"/>
              <w:marBottom w:val="0"/>
              <w:divBdr>
                <w:top w:val="none" w:sz="0" w:space="0" w:color="auto"/>
                <w:left w:val="none" w:sz="0" w:space="0" w:color="auto"/>
                <w:bottom w:val="none" w:sz="0" w:space="0" w:color="auto"/>
                <w:right w:val="none" w:sz="0" w:space="0" w:color="auto"/>
              </w:divBdr>
            </w:div>
            <w:div w:id="1331254639">
              <w:marLeft w:val="0"/>
              <w:marRight w:val="0"/>
              <w:marTop w:val="0"/>
              <w:marBottom w:val="0"/>
              <w:divBdr>
                <w:top w:val="none" w:sz="0" w:space="0" w:color="auto"/>
                <w:left w:val="none" w:sz="0" w:space="0" w:color="auto"/>
                <w:bottom w:val="none" w:sz="0" w:space="0" w:color="auto"/>
                <w:right w:val="none" w:sz="0" w:space="0" w:color="auto"/>
              </w:divBdr>
            </w:div>
            <w:div w:id="435945854">
              <w:marLeft w:val="0"/>
              <w:marRight w:val="0"/>
              <w:marTop w:val="0"/>
              <w:marBottom w:val="0"/>
              <w:divBdr>
                <w:top w:val="none" w:sz="0" w:space="0" w:color="auto"/>
                <w:left w:val="none" w:sz="0" w:space="0" w:color="auto"/>
                <w:bottom w:val="none" w:sz="0" w:space="0" w:color="auto"/>
                <w:right w:val="none" w:sz="0" w:space="0" w:color="auto"/>
              </w:divBdr>
            </w:div>
          </w:divsChild>
        </w:div>
        <w:div w:id="121076484">
          <w:marLeft w:val="0"/>
          <w:marRight w:val="0"/>
          <w:marTop w:val="0"/>
          <w:marBottom w:val="0"/>
          <w:divBdr>
            <w:top w:val="none" w:sz="0" w:space="0" w:color="auto"/>
            <w:left w:val="none" w:sz="0" w:space="0" w:color="auto"/>
            <w:bottom w:val="none" w:sz="0" w:space="0" w:color="auto"/>
            <w:right w:val="none" w:sz="0" w:space="0" w:color="auto"/>
          </w:divBdr>
        </w:div>
        <w:div w:id="2055540233">
          <w:marLeft w:val="0"/>
          <w:marRight w:val="0"/>
          <w:marTop w:val="0"/>
          <w:marBottom w:val="0"/>
          <w:divBdr>
            <w:top w:val="none" w:sz="0" w:space="0" w:color="auto"/>
            <w:left w:val="none" w:sz="0" w:space="0" w:color="auto"/>
            <w:bottom w:val="none" w:sz="0" w:space="0" w:color="auto"/>
            <w:right w:val="none" w:sz="0" w:space="0" w:color="auto"/>
          </w:divBdr>
        </w:div>
        <w:div w:id="105202439">
          <w:marLeft w:val="0"/>
          <w:marRight w:val="0"/>
          <w:marTop w:val="0"/>
          <w:marBottom w:val="0"/>
          <w:divBdr>
            <w:top w:val="none" w:sz="0" w:space="0" w:color="auto"/>
            <w:left w:val="none" w:sz="0" w:space="0" w:color="auto"/>
            <w:bottom w:val="none" w:sz="0" w:space="0" w:color="auto"/>
            <w:right w:val="none" w:sz="0" w:space="0" w:color="auto"/>
          </w:divBdr>
        </w:div>
        <w:div w:id="526870799">
          <w:marLeft w:val="0"/>
          <w:marRight w:val="0"/>
          <w:marTop w:val="0"/>
          <w:marBottom w:val="0"/>
          <w:divBdr>
            <w:top w:val="none" w:sz="0" w:space="0" w:color="auto"/>
            <w:left w:val="none" w:sz="0" w:space="0" w:color="auto"/>
            <w:bottom w:val="none" w:sz="0" w:space="0" w:color="auto"/>
            <w:right w:val="none" w:sz="0" w:space="0" w:color="auto"/>
          </w:divBdr>
          <w:divsChild>
            <w:div w:id="233397883">
              <w:marLeft w:val="0"/>
              <w:marRight w:val="0"/>
              <w:marTop w:val="0"/>
              <w:marBottom w:val="0"/>
              <w:divBdr>
                <w:top w:val="none" w:sz="0" w:space="0" w:color="auto"/>
                <w:left w:val="none" w:sz="0" w:space="0" w:color="auto"/>
                <w:bottom w:val="none" w:sz="0" w:space="0" w:color="auto"/>
                <w:right w:val="none" w:sz="0" w:space="0" w:color="auto"/>
              </w:divBdr>
            </w:div>
            <w:div w:id="675495102">
              <w:marLeft w:val="0"/>
              <w:marRight w:val="0"/>
              <w:marTop w:val="0"/>
              <w:marBottom w:val="0"/>
              <w:divBdr>
                <w:top w:val="none" w:sz="0" w:space="0" w:color="auto"/>
                <w:left w:val="none" w:sz="0" w:space="0" w:color="auto"/>
                <w:bottom w:val="none" w:sz="0" w:space="0" w:color="auto"/>
                <w:right w:val="none" w:sz="0" w:space="0" w:color="auto"/>
              </w:divBdr>
            </w:div>
            <w:div w:id="1436907012">
              <w:marLeft w:val="0"/>
              <w:marRight w:val="0"/>
              <w:marTop w:val="0"/>
              <w:marBottom w:val="0"/>
              <w:divBdr>
                <w:top w:val="none" w:sz="0" w:space="0" w:color="auto"/>
                <w:left w:val="none" w:sz="0" w:space="0" w:color="auto"/>
                <w:bottom w:val="none" w:sz="0" w:space="0" w:color="auto"/>
                <w:right w:val="none" w:sz="0" w:space="0" w:color="auto"/>
              </w:divBdr>
              <w:divsChild>
                <w:div w:id="1451707866">
                  <w:marLeft w:val="0"/>
                  <w:marRight w:val="0"/>
                  <w:marTop w:val="0"/>
                  <w:marBottom w:val="0"/>
                  <w:divBdr>
                    <w:top w:val="none" w:sz="0" w:space="0" w:color="auto"/>
                    <w:left w:val="none" w:sz="0" w:space="0" w:color="auto"/>
                    <w:bottom w:val="none" w:sz="0" w:space="0" w:color="auto"/>
                    <w:right w:val="none" w:sz="0" w:space="0" w:color="auto"/>
                  </w:divBdr>
                </w:div>
                <w:div w:id="11233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04">
      <w:bodyDiv w:val="1"/>
      <w:marLeft w:val="0"/>
      <w:marRight w:val="0"/>
      <w:marTop w:val="0"/>
      <w:marBottom w:val="0"/>
      <w:divBdr>
        <w:top w:val="none" w:sz="0" w:space="0" w:color="auto"/>
        <w:left w:val="none" w:sz="0" w:space="0" w:color="auto"/>
        <w:bottom w:val="none" w:sz="0" w:space="0" w:color="auto"/>
        <w:right w:val="none" w:sz="0" w:space="0" w:color="auto"/>
      </w:divBdr>
      <w:divsChild>
        <w:div w:id="1172600676">
          <w:marLeft w:val="0"/>
          <w:marRight w:val="0"/>
          <w:marTop w:val="0"/>
          <w:marBottom w:val="0"/>
          <w:divBdr>
            <w:top w:val="none" w:sz="0" w:space="0" w:color="auto"/>
            <w:left w:val="none" w:sz="0" w:space="0" w:color="auto"/>
            <w:bottom w:val="none" w:sz="0" w:space="0" w:color="auto"/>
            <w:right w:val="none" w:sz="0" w:space="0" w:color="auto"/>
          </w:divBdr>
          <w:divsChild>
            <w:div w:id="421755735">
              <w:marLeft w:val="0"/>
              <w:marRight w:val="0"/>
              <w:marTop w:val="0"/>
              <w:marBottom w:val="0"/>
              <w:divBdr>
                <w:top w:val="none" w:sz="0" w:space="0" w:color="auto"/>
                <w:left w:val="none" w:sz="0" w:space="0" w:color="auto"/>
                <w:bottom w:val="none" w:sz="0" w:space="0" w:color="auto"/>
                <w:right w:val="none" w:sz="0" w:space="0" w:color="auto"/>
              </w:divBdr>
            </w:div>
            <w:div w:id="1981035808">
              <w:marLeft w:val="0"/>
              <w:marRight w:val="0"/>
              <w:marTop w:val="0"/>
              <w:marBottom w:val="0"/>
              <w:divBdr>
                <w:top w:val="none" w:sz="0" w:space="0" w:color="auto"/>
                <w:left w:val="none" w:sz="0" w:space="0" w:color="auto"/>
                <w:bottom w:val="none" w:sz="0" w:space="0" w:color="auto"/>
                <w:right w:val="none" w:sz="0" w:space="0" w:color="auto"/>
              </w:divBdr>
            </w:div>
            <w:div w:id="364408723">
              <w:marLeft w:val="0"/>
              <w:marRight w:val="0"/>
              <w:marTop w:val="0"/>
              <w:marBottom w:val="0"/>
              <w:divBdr>
                <w:top w:val="none" w:sz="0" w:space="0" w:color="auto"/>
                <w:left w:val="none" w:sz="0" w:space="0" w:color="auto"/>
                <w:bottom w:val="none" w:sz="0" w:space="0" w:color="auto"/>
                <w:right w:val="none" w:sz="0" w:space="0" w:color="auto"/>
              </w:divBdr>
            </w:div>
            <w:div w:id="1998217562">
              <w:marLeft w:val="0"/>
              <w:marRight w:val="0"/>
              <w:marTop w:val="0"/>
              <w:marBottom w:val="0"/>
              <w:divBdr>
                <w:top w:val="none" w:sz="0" w:space="0" w:color="auto"/>
                <w:left w:val="none" w:sz="0" w:space="0" w:color="auto"/>
                <w:bottom w:val="none" w:sz="0" w:space="0" w:color="auto"/>
                <w:right w:val="none" w:sz="0" w:space="0" w:color="auto"/>
              </w:divBdr>
            </w:div>
            <w:div w:id="1286619489">
              <w:marLeft w:val="0"/>
              <w:marRight w:val="0"/>
              <w:marTop w:val="0"/>
              <w:marBottom w:val="0"/>
              <w:divBdr>
                <w:top w:val="none" w:sz="0" w:space="0" w:color="auto"/>
                <w:left w:val="none" w:sz="0" w:space="0" w:color="auto"/>
                <w:bottom w:val="none" w:sz="0" w:space="0" w:color="auto"/>
                <w:right w:val="none" w:sz="0" w:space="0" w:color="auto"/>
              </w:divBdr>
            </w:div>
            <w:div w:id="892035604">
              <w:marLeft w:val="0"/>
              <w:marRight w:val="0"/>
              <w:marTop w:val="0"/>
              <w:marBottom w:val="0"/>
              <w:divBdr>
                <w:top w:val="none" w:sz="0" w:space="0" w:color="auto"/>
                <w:left w:val="none" w:sz="0" w:space="0" w:color="auto"/>
                <w:bottom w:val="none" w:sz="0" w:space="0" w:color="auto"/>
                <w:right w:val="none" w:sz="0" w:space="0" w:color="auto"/>
              </w:divBdr>
            </w:div>
          </w:divsChild>
        </w:div>
        <w:div w:id="1798526143">
          <w:marLeft w:val="0"/>
          <w:marRight w:val="0"/>
          <w:marTop w:val="0"/>
          <w:marBottom w:val="0"/>
          <w:divBdr>
            <w:top w:val="none" w:sz="0" w:space="0" w:color="auto"/>
            <w:left w:val="none" w:sz="0" w:space="0" w:color="auto"/>
            <w:bottom w:val="none" w:sz="0" w:space="0" w:color="auto"/>
            <w:right w:val="none" w:sz="0" w:space="0" w:color="auto"/>
          </w:divBdr>
        </w:div>
        <w:div w:id="855654105">
          <w:marLeft w:val="0"/>
          <w:marRight w:val="0"/>
          <w:marTop w:val="0"/>
          <w:marBottom w:val="0"/>
          <w:divBdr>
            <w:top w:val="none" w:sz="0" w:space="0" w:color="auto"/>
            <w:left w:val="none" w:sz="0" w:space="0" w:color="auto"/>
            <w:bottom w:val="none" w:sz="0" w:space="0" w:color="auto"/>
            <w:right w:val="none" w:sz="0" w:space="0" w:color="auto"/>
          </w:divBdr>
        </w:div>
      </w:divsChild>
    </w:div>
    <w:div w:id="585846453">
      <w:bodyDiv w:val="1"/>
      <w:marLeft w:val="0"/>
      <w:marRight w:val="0"/>
      <w:marTop w:val="0"/>
      <w:marBottom w:val="0"/>
      <w:divBdr>
        <w:top w:val="none" w:sz="0" w:space="0" w:color="auto"/>
        <w:left w:val="none" w:sz="0" w:space="0" w:color="auto"/>
        <w:bottom w:val="none" w:sz="0" w:space="0" w:color="auto"/>
        <w:right w:val="none" w:sz="0" w:space="0" w:color="auto"/>
      </w:divBdr>
      <w:divsChild>
        <w:div w:id="614680777">
          <w:marLeft w:val="0"/>
          <w:marRight w:val="0"/>
          <w:marTop w:val="0"/>
          <w:marBottom w:val="0"/>
          <w:divBdr>
            <w:top w:val="none" w:sz="0" w:space="0" w:color="auto"/>
            <w:left w:val="none" w:sz="0" w:space="0" w:color="auto"/>
            <w:bottom w:val="none" w:sz="0" w:space="0" w:color="auto"/>
            <w:right w:val="none" w:sz="0" w:space="0" w:color="auto"/>
          </w:divBdr>
        </w:div>
        <w:div w:id="1415199455">
          <w:marLeft w:val="0"/>
          <w:marRight w:val="0"/>
          <w:marTop w:val="0"/>
          <w:marBottom w:val="0"/>
          <w:divBdr>
            <w:top w:val="none" w:sz="0" w:space="0" w:color="auto"/>
            <w:left w:val="none" w:sz="0" w:space="0" w:color="auto"/>
            <w:bottom w:val="none" w:sz="0" w:space="0" w:color="auto"/>
            <w:right w:val="none" w:sz="0" w:space="0" w:color="auto"/>
          </w:divBdr>
        </w:div>
      </w:divsChild>
    </w:div>
    <w:div w:id="797146304">
      <w:bodyDiv w:val="1"/>
      <w:marLeft w:val="0"/>
      <w:marRight w:val="0"/>
      <w:marTop w:val="0"/>
      <w:marBottom w:val="0"/>
      <w:divBdr>
        <w:top w:val="none" w:sz="0" w:space="0" w:color="auto"/>
        <w:left w:val="none" w:sz="0" w:space="0" w:color="auto"/>
        <w:bottom w:val="none" w:sz="0" w:space="0" w:color="auto"/>
        <w:right w:val="none" w:sz="0" w:space="0" w:color="auto"/>
      </w:divBdr>
      <w:divsChild>
        <w:div w:id="1918588166">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759759078">
          <w:marLeft w:val="0"/>
          <w:marRight w:val="0"/>
          <w:marTop w:val="0"/>
          <w:marBottom w:val="0"/>
          <w:divBdr>
            <w:top w:val="none" w:sz="0" w:space="0" w:color="auto"/>
            <w:left w:val="none" w:sz="0" w:space="0" w:color="auto"/>
            <w:bottom w:val="none" w:sz="0" w:space="0" w:color="auto"/>
            <w:right w:val="none" w:sz="0" w:space="0" w:color="auto"/>
          </w:divBdr>
        </w:div>
        <w:div w:id="1494174674">
          <w:marLeft w:val="0"/>
          <w:marRight w:val="0"/>
          <w:marTop w:val="0"/>
          <w:marBottom w:val="0"/>
          <w:divBdr>
            <w:top w:val="none" w:sz="0" w:space="0" w:color="auto"/>
            <w:left w:val="none" w:sz="0" w:space="0" w:color="auto"/>
            <w:bottom w:val="none" w:sz="0" w:space="0" w:color="auto"/>
            <w:right w:val="none" w:sz="0" w:space="0" w:color="auto"/>
          </w:divBdr>
          <w:divsChild>
            <w:div w:id="151606811">
              <w:marLeft w:val="0"/>
              <w:marRight w:val="0"/>
              <w:marTop w:val="0"/>
              <w:marBottom w:val="0"/>
              <w:divBdr>
                <w:top w:val="none" w:sz="0" w:space="0" w:color="auto"/>
                <w:left w:val="none" w:sz="0" w:space="0" w:color="auto"/>
                <w:bottom w:val="none" w:sz="0" w:space="0" w:color="auto"/>
                <w:right w:val="none" w:sz="0" w:space="0" w:color="auto"/>
              </w:divBdr>
            </w:div>
            <w:div w:id="1535271531">
              <w:marLeft w:val="0"/>
              <w:marRight w:val="0"/>
              <w:marTop w:val="0"/>
              <w:marBottom w:val="0"/>
              <w:divBdr>
                <w:top w:val="none" w:sz="0" w:space="0" w:color="auto"/>
                <w:left w:val="none" w:sz="0" w:space="0" w:color="auto"/>
                <w:bottom w:val="none" w:sz="0" w:space="0" w:color="auto"/>
                <w:right w:val="none" w:sz="0" w:space="0" w:color="auto"/>
              </w:divBdr>
            </w:div>
          </w:divsChild>
        </w:div>
        <w:div w:id="942032357">
          <w:marLeft w:val="0"/>
          <w:marRight w:val="0"/>
          <w:marTop w:val="0"/>
          <w:marBottom w:val="0"/>
          <w:divBdr>
            <w:top w:val="none" w:sz="0" w:space="0" w:color="auto"/>
            <w:left w:val="none" w:sz="0" w:space="0" w:color="auto"/>
            <w:bottom w:val="none" w:sz="0" w:space="0" w:color="auto"/>
            <w:right w:val="none" w:sz="0" w:space="0" w:color="auto"/>
          </w:divBdr>
          <w:divsChild>
            <w:div w:id="1123501908">
              <w:marLeft w:val="0"/>
              <w:marRight w:val="0"/>
              <w:marTop w:val="0"/>
              <w:marBottom w:val="0"/>
              <w:divBdr>
                <w:top w:val="none" w:sz="0" w:space="0" w:color="auto"/>
                <w:left w:val="none" w:sz="0" w:space="0" w:color="auto"/>
                <w:bottom w:val="none" w:sz="0" w:space="0" w:color="auto"/>
                <w:right w:val="none" w:sz="0" w:space="0" w:color="auto"/>
              </w:divBdr>
            </w:div>
            <w:div w:id="287441178">
              <w:marLeft w:val="0"/>
              <w:marRight w:val="0"/>
              <w:marTop w:val="0"/>
              <w:marBottom w:val="0"/>
              <w:divBdr>
                <w:top w:val="none" w:sz="0" w:space="0" w:color="auto"/>
                <w:left w:val="none" w:sz="0" w:space="0" w:color="auto"/>
                <w:bottom w:val="none" w:sz="0" w:space="0" w:color="auto"/>
                <w:right w:val="none" w:sz="0" w:space="0" w:color="auto"/>
              </w:divBdr>
            </w:div>
          </w:divsChild>
        </w:div>
        <w:div w:id="168257178">
          <w:marLeft w:val="0"/>
          <w:marRight w:val="0"/>
          <w:marTop w:val="0"/>
          <w:marBottom w:val="0"/>
          <w:divBdr>
            <w:top w:val="none" w:sz="0" w:space="0" w:color="auto"/>
            <w:left w:val="none" w:sz="0" w:space="0" w:color="auto"/>
            <w:bottom w:val="none" w:sz="0" w:space="0" w:color="auto"/>
            <w:right w:val="none" w:sz="0" w:space="0" w:color="auto"/>
          </w:divBdr>
          <w:divsChild>
            <w:div w:id="190337259">
              <w:marLeft w:val="0"/>
              <w:marRight w:val="0"/>
              <w:marTop w:val="0"/>
              <w:marBottom w:val="0"/>
              <w:divBdr>
                <w:top w:val="none" w:sz="0" w:space="0" w:color="auto"/>
                <w:left w:val="none" w:sz="0" w:space="0" w:color="auto"/>
                <w:bottom w:val="none" w:sz="0" w:space="0" w:color="auto"/>
                <w:right w:val="none" w:sz="0" w:space="0" w:color="auto"/>
              </w:divBdr>
            </w:div>
            <w:div w:id="1705517989">
              <w:marLeft w:val="0"/>
              <w:marRight w:val="0"/>
              <w:marTop w:val="0"/>
              <w:marBottom w:val="0"/>
              <w:divBdr>
                <w:top w:val="none" w:sz="0" w:space="0" w:color="auto"/>
                <w:left w:val="none" w:sz="0" w:space="0" w:color="auto"/>
                <w:bottom w:val="none" w:sz="0" w:space="0" w:color="auto"/>
                <w:right w:val="none" w:sz="0" w:space="0" w:color="auto"/>
              </w:divBdr>
            </w:div>
          </w:divsChild>
        </w:div>
        <w:div w:id="1414820316">
          <w:marLeft w:val="0"/>
          <w:marRight w:val="0"/>
          <w:marTop w:val="0"/>
          <w:marBottom w:val="0"/>
          <w:divBdr>
            <w:top w:val="none" w:sz="0" w:space="0" w:color="auto"/>
            <w:left w:val="none" w:sz="0" w:space="0" w:color="auto"/>
            <w:bottom w:val="none" w:sz="0" w:space="0" w:color="auto"/>
            <w:right w:val="none" w:sz="0" w:space="0" w:color="auto"/>
          </w:divBdr>
        </w:div>
      </w:divsChild>
    </w:div>
    <w:div w:id="944118516">
      <w:bodyDiv w:val="1"/>
      <w:marLeft w:val="0"/>
      <w:marRight w:val="0"/>
      <w:marTop w:val="0"/>
      <w:marBottom w:val="0"/>
      <w:divBdr>
        <w:top w:val="none" w:sz="0" w:space="0" w:color="auto"/>
        <w:left w:val="none" w:sz="0" w:space="0" w:color="auto"/>
        <w:bottom w:val="none" w:sz="0" w:space="0" w:color="auto"/>
        <w:right w:val="none" w:sz="0" w:space="0" w:color="auto"/>
      </w:divBdr>
      <w:divsChild>
        <w:div w:id="287781923">
          <w:marLeft w:val="0"/>
          <w:marRight w:val="0"/>
          <w:marTop w:val="0"/>
          <w:marBottom w:val="0"/>
          <w:divBdr>
            <w:top w:val="none" w:sz="0" w:space="0" w:color="auto"/>
            <w:left w:val="none" w:sz="0" w:space="0" w:color="auto"/>
            <w:bottom w:val="none" w:sz="0" w:space="0" w:color="auto"/>
            <w:right w:val="none" w:sz="0" w:space="0" w:color="auto"/>
          </w:divBdr>
          <w:divsChild>
            <w:div w:id="1034234169">
              <w:marLeft w:val="0"/>
              <w:marRight w:val="0"/>
              <w:marTop w:val="0"/>
              <w:marBottom w:val="0"/>
              <w:divBdr>
                <w:top w:val="none" w:sz="0" w:space="0" w:color="auto"/>
                <w:left w:val="none" w:sz="0" w:space="0" w:color="auto"/>
                <w:bottom w:val="none" w:sz="0" w:space="0" w:color="auto"/>
                <w:right w:val="none" w:sz="0" w:space="0" w:color="auto"/>
              </w:divBdr>
            </w:div>
            <w:div w:id="224265046">
              <w:marLeft w:val="0"/>
              <w:marRight w:val="0"/>
              <w:marTop w:val="0"/>
              <w:marBottom w:val="0"/>
              <w:divBdr>
                <w:top w:val="none" w:sz="0" w:space="0" w:color="auto"/>
                <w:left w:val="none" w:sz="0" w:space="0" w:color="auto"/>
                <w:bottom w:val="none" w:sz="0" w:space="0" w:color="auto"/>
                <w:right w:val="none" w:sz="0" w:space="0" w:color="auto"/>
              </w:divBdr>
            </w:div>
          </w:divsChild>
        </w:div>
        <w:div w:id="1291519791">
          <w:marLeft w:val="0"/>
          <w:marRight w:val="0"/>
          <w:marTop w:val="0"/>
          <w:marBottom w:val="0"/>
          <w:divBdr>
            <w:top w:val="none" w:sz="0" w:space="0" w:color="auto"/>
            <w:left w:val="none" w:sz="0" w:space="0" w:color="auto"/>
            <w:bottom w:val="none" w:sz="0" w:space="0" w:color="auto"/>
            <w:right w:val="none" w:sz="0" w:space="0" w:color="auto"/>
          </w:divBdr>
        </w:div>
        <w:div w:id="466314686">
          <w:marLeft w:val="0"/>
          <w:marRight w:val="0"/>
          <w:marTop w:val="0"/>
          <w:marBottom w:val="0"/>
          <w:divBdr>
            <w:top w:val="none" w:sz="0" w:space="0" w:color="auto"/>
            <w:left w:val="none" w:sz="0" w:space="0" w:color="auto"/>
            <w:bottom w:val="none" w:sz="0" w:space="0" w:color="auto"/>
            <w:right w:val="none" w:sz="0" w:space="0" w:color="auto"/>
          </w:divBdr>
        </w:div>
        <w:div w:id="1275215558">
          <w:marLeft w:val="0"/>
          <w:marRight w:val="0"/>
          <w:marTop w:val="0"/>
          <w:marBottom w:val="0"/>
          <w:divBdr>
            <w:top w:val="none" w:sz="0" w:space="0" w:color="auto"/>
            <w:left w:val="none" w:sz="0" w:space="0" w:color="auto"/>
            <w:bottom w:val="none" w:sz="0" w:space="0" w:color="auto"/>
            <w:right w:val="none" w:sz="0" w:space="0" w:color="auto"/>
          </w:divBdr>
        </w:div>
        <w:div w:id="1093206247">
          <w:marLeft w:val="0"/>
          <w:marRight w:val="0"/>
          <w:marTop w:val="0"/>
          <w:marBottom w:val="0"/>
          <w:divBdr>
            <w:top w:val="none" w:sz="0" w:space="0" w:color="auto"/>
            <w:left w:val="none" w:sz="0" w:space="0" w:color="auto"/>
            <w:bottom w:val="none" w:sz="0" w:space="0" w:color="auto"/>
            <w:right w:val="none" w:sz="0" w:space="0" w:color="auto"/>
          </w:divBdr>
        </w:div>
      </w:divsChild>
    </w:div>
    <w:div w:id="1170214830">
      <w:bodyDiv w:val="1"/>
      <w:marLeft w:val="0"/>
      <w:marRight w:val="0"/>
      <w:marTop w:val="0"/>
      <w:marBottom w:val="0"/>
      <w:divBdr>
        <w:top w:val="none" w:sz="0" w:space="0" w:color="auto"/>
        <w:left w:val="none" w:sz="0" w:space="0" w:color="auto"/>
        <w:bottom w:val="none" w:sz="0" w:space="0" w:color="auto"/>
        <w:right w:val="none" w:sz="0" w:space="0" w:color="auto"/>
      </w:divBdr>
      <w:divsChild>
        <w:div w:id="163279057">
          <w:marLeft w:val="0"/>
          <w:marRight w:val="0"/>
          <w:marTop w:val="0"/>
          <w:marBottom w:val="0"/>
          <w:divBdr>
            <w:top w:val="none" w:sz="0" w:space="0" w:color="auto"/>
            <w:left w:val="none" w:sz="0" w:space="0" w:color="auto"/>
            <w:bottom w:val="none" w:sz="0" w:space="0" w:color="auto"/>
            <w:right w:val="none" w:sz="0" w:space="0" w:color="auto"/>
          </w:divBdr>
        </w:div>
        <w:div w:id="1570000499">
          <w:marLeft w:val="0"/>
          <w:marRight w:val="0"/>
          <w:marTop w:val="0"/>
          <w:marBottom w:val="0"/>
          <w:divBdr>
            <w:top w:val="none" w:sz="0" w:space="0" w:color="auto"/>
            <w:left w:val="none" w:sz="0" w:space="0" w:color="auto"/>
            <w:bottom w:val="none" w:sz="0" w:space="0" w:color="auto"/>
            <w:right w:val="none" w:sz="0" w:space="0" w:color="auto"/>
          </w:divBdr>
          <w:divsChild>
            <w:div w:id="528297761">
              <w:marLeft w:val="0"/>
              <w:marRight w:val="0"/>
              <w:marTop w:val="0"/>
              <w:marBottom w:val="0"/>
              <w:divBdr>
                <w:top w:val="none" w:sz="0" w:space="0" w:color="auto"/>
                <w:left w:val="none" w:sz="0" w:space="0" w:color="auto"/>
                <w:bottom w:val="none" w:sz="0" w:space="0" w:color="auto"/>
                <w:right w:val="none" w:sz="0" w:space="0" w:color="auto"/>
              </w:divBdr>
            </w:div>
            <w:div w:id="179976001">
              <w:marLeft w:val="0"/>
              <w:marRight w:val="0"/>
              <w:marTop w:val="0"/>
              <w:marBottom w:val="0"/>
              <w:divBdr>
                <w:top w:val="none" w:sz="0" w:space="0" w:color="auto"/>
                <w:left w:val="none" w:sz="0" w:space="0" w:color="auto"/>
                <w:bottom w:val="none" w:sz="0" w:space="0" w:color="auto"/>
                <w:right w:val="none" w:sz="0" w:space="0" w:color="auto"/>
              </w:divBdr>
              <w:divsChild>
                <w:div w:id="343173378">
                  <w:marLeft w:val="0"/>
                  <w:marRight w:val="0"/>
                  <w:marTop w:val="0"/>
                  <w:marBottom w:val="0"/>
                  <w:divBdr>
                    <w:top w:val="none" w:sz="0" w:space="0" w:color="auto"/>
                    <w:left w:val="none" w:sz="0" w:space="0" w:color="auto"/>
                    <w:bottom w:val="none" w:sz="0" w:space="0" w:color="auto"/>
                    <w:right w:val="none" w:sz="0" w:space="0" w:color="auto"/>
                  </w:divBdr>
                </w:div>
                <w:div w:id="696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4958">
          <w:marLeft w:val="0"/>
          <w:marRight w:val="0"/>
          <w:marTop w:val="0"/>
          <w:marBottom w:val="0"/>
          <w:divBdr>
            <w:top w:val="none" w:sz="0" w:space="0" w:color="auto"/>
            <w:left w:val="none" w:sz="0" w:space="0" w:color="auto"/>
            <w:bottom w:val="none" w:sz="0" w:space="0" w:color="auto"/>
            <w:right w:val="none" w:sz="0" w:space="0" w:color="auto"/>
          </w:divBdr>
        </w:div>
        <w:div w:id="2019889566">
          <w:marLeft w:val="0"/>
          <w:marRight w:val="0"/>
          <w:marTop w:val="0"/>
          <w:marBottom w:val="0"/>
          <w:divBdr>
            <w:top w:val="none" w:sz="0" w:space="0" w:color="auto"/>
            <w:left w:val="none" w:sz="0" w:space="0" w:color="auto"/>
            <w:bottom w:val="none" w:sz="0" w:space="0" w:color="auto"/>
            <w:right w:val="none" w:sz="0" w:space="0" w:color="auto"/>
          </w:divBdr>
        </w:div>
        <w:div w:id="1939631728">
          <w:marLeft w:val="0"/>
          <w:marRight w:val="0"/>
          <w:marTop w:val="0"/>
          <w:marBottom w:val="0"/>
          <w:divBdr>
            <w:top w:val="none" w:sz="0" w:space="0" w:color="auto"/>
            <w:left w:val="none" w:sz="0" w:space="0" w:color="auto"/>
            <w:bottom w:val="none" w:sz="0" w:space="0" w:color="auto"/>
            <w:right w:val="none" w:sz="0" w:space="0" w:color="auto"/>
          </w:divBdr>
        </w:div>
        <w:div w:id="1791896964">
          <w:marLeft w:val="0"/>
          <w:marRight w:val="0"/>
          <w:marTop w:val="0"/>
          <w:marBottom w:val="0"/>
          <w:divBdr>
            <w:top w:val="none" w:sz="0" w:space="0" w:color="auto"/>
            <w:left w:val="none" w:sz="0" w:space="0" w:color="auto"/>
            <w:bottom w:val="none" w:sz="0" w:space="0" w:color="auto"/>
            <w:right w:val="none" w:sz="0" w:space="0" w:color="auto"/>
          </w:divBdr>
          <w:divsChild>
            <w:div w:id="1885098526">
              <w:marLeft w:val="0"/>
              <w:marRight w:val="0"/>
              <w:marTop w:val="0"/>
              <w:marBottom w:val="0"/>
              <w:divBdr>
                <w:top w:val="none" w:sz="0" w:space="0" w:color="auto"/>
                <w:left w:val="none" w:sz="0" w:space="0" w:color="auto"/>
                <w:bottom w:val="none" w:sz="0" w:space="0" w:color="auto"/>
                <w:right w:val="none" w:sz="0" w:space="0" w:color="auto"/>
              </w:divBdr>
            </w:div>
            <w:div w:id="1741712237">
              <w:marLeft w:val="0"/>
              <w:marRight w:val="0"/>
              <w:marTop w:val="0"/>
              <w:marBottom w:val="0"/>
              <w:divBdr>
                <w:top w:val="none" w:sz="0" w:space="0" w:color="auto"/>
                <w:left w:val="none" w:sz="0" w:space="0" w:color="auto"/>
                <w:bottom w:val="none" w:sz="0" w:space="0" w:color="auto"/>
                <w:right w:val="none" w:sz="0" w:space="0" w:color="auto"/>
              </w:divBdr>
            </w:div>
            <w:div w:id="2136751838">
              <w:marLeft w:val="0"/>
              <w:marRight w:val="0"/>
              <w:marTop w:val="0"/>
              <w:marBottom w:val="0"/>
              <w:divBdr>
                <w:top w:val="none" w:sz="0" w:space="0" w:color="auto"/>
                <w:left w:val="none" w:sz="0" w:space="0" w:color="auto"/>
                <w:bottom w:val="none" w:sz="0" w:space="0" w:color="auto"/>
                <w:right w:val="none" w:sz="0" w:space="0" w:color="auto"/>
              </w:divBdr>
              <w:divsChild>
                <w:div w:id="1659574313">
                  <w:marLeft w:val="0"/>
                  <w:marRight w:val="0"/>
                  <w:marTop w:val="0"/>
                  <w:marBottom w:val="0"/>
                  <w:divBdr>
                    <w:top w:val="none" w:sz="0" w:space="0" w:color="auto"/>
                    <w:left w:val="none" w:sz="0" w:space="0" w:color="auto"/>
                    <w:bottom w:val="none" w:sz="0" w:space="0" w:color="auto"/>
                    <w:right w:val="none" w:sz="0" w:space="0" w:color="auto"/>
                  </w:divBdr>
                </w:div>
                <w:div w:id="17294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8347">
      <w:bodyDiv w:val="1"/>
      <w:marLeft w:val="0"/>
      <w:marRight w:val="0"/>
      <w:marTop w:val="0"/>
      <w:marBottom w:val="0"/>
      <w:divBdr>
        <w:top w:val="none" w:sz="0" w:space="0" w:color="auto"/>
        <w:left w:val="none" w:sz="0" w:space="0" w:color="auto"/>
        <w:bottom w:val="none" w:sz="0" w:space="0" w:color="auto"/>
        <w:right w:val="none" w:sz="0" w:space="0" w:color="auto"/>
      </w:divBdr>
      <w:divsChild>
        <w:div w:id="393545296">
          <w:marLeft w:val="0"/>
          <w:marRight w:val="0"/>
          <w:marTop w:val="0"/>
          <w:marBottom w:val="0"/>
          <w:divBdr>
            <w:top w:val="none" w:sz="0" w:space="0" w:color="auto"/>
            <w:left w:val="none" w:sz="0" w:space="0" w:color="auto"/>
            <w:bottom w:val="none" w:sz="0" w:space="0" w:color="auto"/>
            <w:right w:val="none" w:sz="0" w:space="0" w:color="auto"/>
          </w:divBdr>
          <w:divsChild>
            <w:div w:id="46242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7662">
          <w:marLeft w:val="0"/>
          <w:marRight w:val="0"/>
          <w:marTop w:val="0"/>
          <w:marBottom w:val="0"/>
          <w:divBdr>
            <w:top w:val="none" w:sz="0" w:space="0" w:color="auto"/>
            <w:left w:val="none" w:sz="0" w:space="0" w:color="auto"/>
            <w:bottom w:val="none" w:sz="0" w:space="0" w:color="auto"/>
            <w:right w:val="none" w:sz="0" w:space="0" w:color="auto"/>
          </w:divBdr>
          <w:divsChild>
            <w:div w:id="14393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5482">
          <w:marLeft w:val="0"/>
          <w:marRight w:val="0"/>
          <w:marTop w:val="0"/>
          <w:marBottom w:val="0"/>
          <w:divBdr>
            <w:top w:val="none" w:sz="0" w:space="0" w:color="auto"/>
            <w:left w:val="none" w:sz="0" w:space="0" w:color="auto"/>
            <w:bottom w:val="none" w:sz="0" w:space="0" w:color="auto"/>
            <w:right w:val="none" w:sz="0" w:space="0" w:color="auto"/>
          </w:divBdr>
        </w:div>
      </w:divsChild>
    </w:div>
    <w:div w:id="1500996251">
      <w:bodyDiv w:val="1"/>
      <w:marLeft w:val="0"/>
      <w:marRight w:val="0"/>
      <w:marTop w:val="0"/>
      <w:marBottom w:val="0"/>
      <w:divBdr>
        <w:top w:val="none" w:sz="0" w:space="0" w:color="auto"/>
        <w:left w:val="none" w:sz="0" w:space="0" w:color="auto"/>
        <w:bottom w:val="none" w:sz="0" w:space="0" w:color="auto"/>
        <w:right w:val="none" w:sz="0" w:space="0" w:color="auto"/>
      </w:divBdr>
      <w:divsChild>
        <w:div w:id="462160220">
          <w:marLeft w:val="0"/>
          <w:marRight w:val="0"/>
          <w:marTop w:val="0"/>
          <w:marBottom w:val="0"/>
          <w:divBdr>
            <w:top w:val="none" w:sz="0" w:space="0" w:color="auto"/>
            <w:left w:val="none" w:sz="0" w:space="0" w:color="auto"/>
            <w:bottom w:val="none" w:sz="0" w:space="0" w:color="auto"/>
            <w:right w:val="none" w:sz="0" w:space="0" w:color="auto"/>
          </w:divBdr>
        </w:div>
        <w:div w:id="1880167921">
          <w:marLeft w:val="0"/>
          <w:marRight w:val="0"/>
          <w:marTop w:val="0"/>
          <w:marBottom w:val="0"/>
          <w:divBdr>
            <w:top w:val="none" w:sz="0" w:space="0" w:color="auto"/>
            <w:left w:val="none" w:sz="0" w:space="0" w:color="auto"/>
            <w:bottom w:val="none" w:sz="0" w:space="0" w:color="auto"/>
            <w:right w:val="none" w:sz="0" w:space="0" w:color="auto"/>
          </w:divBdr>
          <w:divsChild>
            <w:div w:id="857700993">
              <w:marLeft w:val="0"/>
              <w:marRight w:val="0"/>
              <w:marTop w:val="0"/>
              <w:marBottom w:val="0"/>
              <w:divBdr>
                <w:top w:val="none" w:sz="0" w:space="0" w:color="auto"/>
                <w:left w:val="none" w:sz="0" w:space="0" w:color="auto"/>
                <w:bottom w:val="none" w:sz="0" w:space="0" w:color="auto"/>
                <w:right w:val="none" w:sz="0" w:space="0" w:color="auto"/>
              </w:divBdr>
            </w:div>
            <w:div w:id="15829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412">
      <w:bodyDiv w:val="1"/>
      <w:marLeft w:val="0"/>
      <w:marRight w:val="0"/>
      <w:marTop w:val="0"/>
      <w:marBottom w:val="0"/>
      <w:divBdr>
        <w:top w:val="none" w:sz="0" w:space="0" w:color="auto"/>
        <w:left w:val="none" w:sz="0" w:space="0" w:color="auto"/>
        <w:bottom w:val="none" w:sz="0" w:space="0" w:color="auto"/>
        <w:right w:val="none" w:sz="0" w:space="0" w:color="auto"/>
      </w:divBdr>
      <w:divsChild>
        <w:div w:id="333269264">
          <w:marLeft w:val="0"/>
          <w:marRight w:val="0"/>
          <w:marTop w:val="0"/>
          <w:marBottom w:val="0"/>
          <w:divBdr>
            <w:top w:val="none" w:sz="0" w:space="0" w:color="auto"/>
            <w:left w:val="none" w:sz="0" w:space="0" w:color="auto"/>
            <w:bottom w:val="none" w:sz="0" w:space="0" w:color="auto"/>
            <w:right w:val="none" w:sz="0" w:space="0" w:color="auto"/>
          </w:divBdr>
        </w:div>
        <w:div w:id="1987316493">
          <w:marLeft w:val="0"/>
          <w:marRight w:val="0"/>
          <w:marTop w:val="0"/>
          <w:marBottom w:val="0"/>
          <w:divBdr>
            <w:top w:val="none" w:sz="0" w:space="0" w:color="auto"/>
            <w:left w:val="none" w:sz="0" w:space="0" w:color="auto"/>
            <w:bottom w:val="none" w:sz="0" w:space="0" w:color="auto"/>
            <w:right w:val="none" w:sz="0" w:space="0" w:color="auto"/>
          </w:divBdr>
          <w:divsChild>
            <w:div w:id="2001888383">
              <w:marLeft w:val="0"/>
              <w:marRight w:val="0"/>
              <w:marTop w:val="0"/>
              <w:marBottom w:val="0"/>
              <w:divBdr>
                <w:top w:val="none" w:sz="0" w:space="0" w:color="auto"/>
                <w:left w:val="none" w:sz="0" w:space="0" w:color="auto"/>
                <w:bottom w:val="none" w:sz="0" w:space="0" w:color="auto"/>
                <w:right w:val="none" w:sz="0" w:space="0" w:color="auto"/>
              </w:divBdr>
            </w:div>
            <w:div w:id="3537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practicallaw.thomsonreuters.com/Document/I849386A0E42311DAA7CF8F68F6EE57AB/View/FullText.html?originationContext=document&amp;transitionType=DocumentItem&amp;contextData=(sc.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practicallaw.thomsonreuters.com/Document/I849386A0E42311DAA7CF8F68F6EE57AB/View/FullText.html?originationContext=document&amp;transitionType=DocumentItem&amp;contextData=(sc.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k.practicallaw.thomsonreuters.com/Document/ICADF4BE0E42711DA8FC2A0F0355337E9/View/FullText.html?originationContext=document&amp;transitionType=DocumentItem&amp;contextData=(sc.Search)" TargetMode="External"/><Relationship Id="rId4" Type="http://schemas.openxmlformats.org/officeDocument/2006/relationships/settings" Target="settings.xml"/><Relationship Id="rId9" Type="http://schemas.openxmlformats.org/officeDocument/2006/relationships/hyperlink" Target="https://uk.practicallaw.thomsonreuters.com/Document/I0D966E50E45011DA8D70A0E70A78ED65/View/FullText.html?originationContext=document&amp;transitionType=DocumentItem&amp;contextData=(sc.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C7C8C-5E03-4343-9432-51AA4AC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Mr Justice Marcus</dc:creator>
  <cp:keywords/>
  <dc:description/>
  <cp:lastModifiedBy>Brilliant, Steven</cp:lastModifiedBy>
  <cp:revision>3</cp:revision>
  <cp:lastPrinted>2018-12-21T14:20:00Z</cp:lastPrinted>
  <dcterms:created xsi:type="dcterms:W3CDTF">2019-01-15T17:16:00Z</dcterms:created>
  <dcterms:modified xsi:type="dcterms:W3CDTF">2019-01-15T17:17:00Z</dcterms:modified>
</cp:coreProperties>
</file>