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8C2D6A" w14:textId="40C929A2" w:rsidR="00C11C01" w:rsidRDefault="00C11C01" w:rsidP="008F0183">
      <w:pPr>
        <w:pStyle w:val="CoverText"/>
        <w:jc w:val="center"/>
        <w:rPr>
          <w:bCs/>
        </w:rPr>
      </w:pPr>
      <w:r w:rsidRPr="005D2952">
        <w:rPr>
          <w:noProof/>
          <w:u w:val="none"/>
        </w:rPr>
        <w:drawing>
          <wp:anchor distT="0" distB="0" distL="114300" distR="114300" simplePos="0" relativeHeight="251658240" behindDoc="1" locked="0" layoutInCell="1" allowOverlap="1" wp14:anchorId="33915180" wp14:editId="41626238">
            <wp:simplePos x="0" y="0"/>
            <wp:positionH relativeFrom="column">
              <wp:posOffset>2381250</wp:posOffset>
            </wp:positionH>
            <wp:positionV relativeFrom="paragraph">
              <wp:posOffset>0</wp:posOffset>
            </wp:positionV>
            <wp:extent cx="971550" cy="962025"/>
            <wp:effectExtent l="0" t="0" r="0" b="9525"/>
            <wp:wrapTopAndBottom/>
            <wp:docPr id="1" name="Picture 1" descr="C:\Users\QKI64Q\OneDrive - Ministry of Justice\JudgmentTemplate\Templates\\cres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QKI64Q\OneDrive - Ministry of Justice\JudgmentTemplate\Templates\\crest.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962025"/>
                    </a:xfrm>
                    <a:prstGeom prst="rect">
                      <a:avLst/>
                    </a:prstGeom>
                    <a:noFill/>
                    <a:ln>
                      <a:noFill/>
                    </a:ln>
                  </pic:spPr>
                </pic:pic>
              </a:graphicData>
            </a:graphic>
          </wp:anchor>
        </w:drawing>
      </w:r>
    </w:p>
    <w:p w14:paraId="489446E2" w14:textId="2EDBB992" w:rsidR="000A07C2" w:rsidRDefault="000A07C2" w:rsidP="000A07C2">
      <w:pPr>
        <w:pStyle w:val="CoverText"/>
        <w:jc w:val="left"/>
      </w:pPr>
      <w:bookmarkStart w:id="0" w:name="_Hlk532385279"/>
      <w:r>
        <w:rPr>
          <w:bCs/>
        </w:rPr>
        <w:t>Neutral Citation Number</w:t>
      </w:r>
      <w:r w:rsidRPr="00C11C01">
        <w:rPr>
          <w:bCs/>
          <w:szCs w:val="24"/>
        </w:rPr>
        <w:t xml:space="preserve">: </w:t>
      </w:r>
      <w:r w:rsidR="00C11C01" w:rsidRPr="00C11C01">
        <w:rPr>
          <w:bCs/>
          <w:szCs w:val="24"/>
        </w:rPr>
        <w:t>[2018] EWHC 3448 (Ch)</w:t>
      </w:r>
    </w:p>
    <w:p w14:paraId="7D34967A" w14:textId="23913229" w:rsidR="000E78C3" w:rsidRDefault="00166C1A">
      <w:pPr>
        <w:pStyle w:val="CoverText"/>
      </w:pPr>
      <w:r>
        <w:t xml:space="preserve">Claim No: </w:t>
      </w:r>
      <w:r w:rsidR="001441F6">
        <w:t>CP</w:t>
      </w:r>
      <w:r w:rsidR="00545162">
        <w:t>-2017-000009</w:t>
      </w:r>
    </w:p>
    <w:p w14:paraId="657DBE5A" w14:textId="481C4DFE" w:rsidR="000E78C3" w:rsidRDefault="00166C1A">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HIGH COURT OF JUSTICE</w:t>
      </w:r>
    </w:p>
    <w:p w14:paraId="23FC829A" w14:textId="77777777" w:rsidR="000E78C3" w:rsidRDefault="00166C1A">
      <w:pPr>
        <w:rPr>
          <w:b/>
          <w:spacing w:val="-3"/>
          <w:u w:val="single"/>
        </w:rPr>
      </w:pPr>
      <w:r>
        <w:rPr>
          <w:b/>
          <w:spacing w:val="-3"/>
          <w:u w:val="single"/>
        </w:rPr>
        <w:t>BUSINESS AND PROPERTY COURTS OF ENGLAND AND WALES</w:t>
      </w:r>
    </w:p>
    <w:p w14:paraId="292B03BF" w14:textId="068683E9" w:rsidR="000E78C3" w:rsidRDefault="00545162">
      <w:pPr>
        <w:rPr>
          <w:b/>
          <w:spacing w:val="-3"/>
          <w:u w:val="single"/>
        </w:rPr>
      </w:pPr>
      <w:r>
        <w:rPr>
          <w:b/>
          <w:spacing w:val="-3"/>
          <w:u w:val="single"/>
        </w:rPr>
        <w:t>COMPETITION</w:t>
      </w:r>
      <w:r w:rsidR="00AF1947">
        <w:rPr>
          <w:b/>
          <w:spacing w:val="-3"/>
          <w:u w:val="single"/>
        </w:rPr>
        <w:t xml:space="preserve"> LIST (</w:t>
      </w:r>
      <w:proofErr w:type="spellStart"/>
      <w:r w:rsidR="00AF1947">
        <w:rPr>
          <w:b/>
          <w:spacing w:val="-3"/>
          <w:u w:val="single"/>
        </w:rPr>
        <w:t>ChD</w:t>
      </w:r>
      <w:proofErr w:type="spellEnd"/>
      <w:r w:rsidR="00AF1947">
        <w:rPr>
          <w:b/>
          <w:spacing w:val="-3"/>
          <w:u w:val="single"/>
        </w:rPr>
        <w:t>)</w:t>
      </w:r>
    </w:p>
    <w:p w14:paraId="5F6258FE" w14:textId="096FC25C" w:rsidR="000E78C3" w:rsidRDefault="00166C1A">
      <w:pPr>
        <w:pStyle w:val="CoverText"/>
      </w:pPr>
      <w:r>
        <w:t>Rolls Building</w:t>
      </w:r>
    </w:p>
    <w:p w14:paraId="1F7FF1BB" w14:textId="7FAAE8AF" w:rsidR="00C11C01" w:rsidRDefault="00C11C01">
      <w:pPr>
        <w:pStyle w:val="CoverText"/>
      </w:pPr>
      <w:r>
        <w:t>7 Rolls Building</w:t>
      </w:r>
    </w:p>
    <w:p w14:paraId="5AFD0062" w14:textId="77777777" w:rsidR="000E78C3" w:rsidRDefault="00166C1A">
      <w:pPr>
        <w:pStyle w:val="CoverText"/>
      </w:pPr>
      <w:r>
        <w:t>Fetter Lane</w:t>
      </w:r>
    </w:p>
    <w:p w14:paraId="37048FF6" w14:textId="77777777" w:rsidR="000E78C3" w:rsidRDefault="00166C1A">
      <w:pPr>
        <w:pStyle w:val="CoverText"/>
      </w:pPr>
      <w:r>
        <w:t>London EC4A 1NL</w:t>
      </w:r>
    </w:p>
    <w:p w14:paraId="45139A79" w14:textId="77777777" w:rsidR="000E78C3" w:rsidRDefault="000E78C3">
      <w:pPr>
        <w:jc w:val="right"/>
        <w:rPr>
          <w:spacing w:val="-3"/>
          <w:u w:val="single"/>
        </w:rPr>
      </w:pPr>
    </w:p>
    <w:p w14:paraId="1C19E016" w14:textId="2CDB93DD" w:rsidR="000E78C3" w:rsidRDefault="00166C1A">
      <w:pPr>
        <w:pStyle w:val="CoverText"/>
      </w:pPr>
      <w:r>
        <w:t xml:space="preserve">Date: </w:t>
      </w:r>
      <w:r w:rsidR="006038AC">
        <w:t>12 December</w:t>
      </w:r>
      <w:r w:rsidR="00C11C01">
        <w:t xml:space="preserve"> 2018</w:t>
      </w:r>
    </w:p>
    <w:p w14:paraId="27B67473" w14:textId="77777777" w:rsidR="000E78C3" w:rsidRDefault="000E78C3">
      <w:pPr>
        <w:rPr>
          <w:spacing w:val="-3"/>
        </w:rPr>
      </w:pPr>
    </w:p>
    <w:p w14:paraId="1D9E2C0F" w14:textId="77777777" w:rsidR="000E78C3" w:rsidRDefault="00166C1A">
      <w:pPr>
        <w:jc w:val="center"/>
      </w:pPr>
      <w:proofErr w:type="gramStart"/>
      <w:r>
        <w:rPr>
          <w:b/>
          <w:spacing w:val="-3"/>
        </w:rPr>
        <w:t>Before</w:t>
      </w:r>
      <w:r>
        <w:rPr>
          <w:spacing w:val="-3"/>
        </w:rPr>
        <w:t xml:space="preserve"> :</w:t>
      </w:r>
      <w:proofErr w:type="gramEnd"/>
    </w:p>
    <w:p w14:paraId="580CEB7A" w14:textId="77777777" w:rsidR="000E78C3" w:rsidRDefault="000E78C3">
      <w:pPr>
        <w:jc w:val="center"/>
        <w:rPr>
          <w:spacing w:val="-3"/>
        </w:rPr>
      </w:pPr>
    </w:p>
    <w:p w14:paraId="02B291B9" w14:textId="77777777" w:rsidR="000E78C3" w:rsidRDefault="00166C1A">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THE HONOURABLE MR JUSTICE MARCUS SMITH</w:t>
      </w:r>
    </w:p>
    <w:p w14:paraId="178D16FD" w14:textId="77777777" w:rsidR="000E78C3" w:rsidRDefault="00166C1A">
      <w:pPr>
        <w:jc w:val="center"/>
        <w:rPr>
          <w:spacing w:val="-3"/>
        </w:rPr>
      </w:pPr>
      <w:r>
        <w:rPr>
          <w:spacing w:val="-3"/>
        </w:rPr>
        <w:t>- - - - - - - - - - - - - - - - - - - - -</w:t>
      </w:r>
    </w:p>
    <w:p w14:paraId="1AB7A4E8" w14:textId="550C208D" w:rsidR="000E78C3" w:rsidRDefault="00C519F4" w:rsidP="00C519F4">
      <w:pPr>
        <w:jc w:val="center"/>
        <w:rPr>
          <w:b/>
          <w:spacing w:val="-3"/>
        </w:rPr>
      </w:pPr>
      <w:r>
        <w:rPr>
          <w:b/>
          <w:spacing w:val="-3"/>
        </w:rPr>
        <w:t>Between:</w:t>
      </w:r>
    </w:p>
    <w:p w14:paraId="4D49A88C" w14:textId="77777777" w:rsidR="00C519F4" w:rsidRDefault="00C519F4" w:rsidP="00C519F4">
      <w:pPr>
        <w:jc w:val="center"/>
        <w:rPr>
          <w:b/>
          <w:spacing w:val="-3"/>
        </w:rPr>
      </w:pPr>
    </w:p>
    <w:tbl>
      <w:tblPr>
        <w:tblW w:w="9126" w:type="dxa"/>
        <w:jc w:val="center"/>
        <w:tblLayout w:type="fixed"/>
        <w:tblCellMar>
          <w:left w:w="10" w:type="dxa"/>
          <w:right w:w="10" w:type="dxa"/>
        </w:tblCellMar>
        <w:tblLook w:val="04A0" w:firstRow="1" w:lastRow="0" w:firstColumn="1" w:lastColumn="0" w:noHBand="0" w:noVBand="1"/>
      </w:tblPr>
      <w:tblGrid>
        <w:gridCol w:w="1776"/>
        <w:gridCol w:w="5293"/>
        <w:gridCol w:w="2057"/>
      </w:tblGrid>
      <w:tr w:rsidR="000E78C3" w14:paraId="73EE05C8" w14:textId="77777777">
        <w:trPr>
          <w:jc w:val="center"/>
        </w:trPr>
        <w:tc>
          <w:tcPr>
            <w:tcW w:w="1776" w:type="dxa"/>
            <w:shd w:val="clear" w:color="auto" w:fill="auto"/>
            <w:tcMar>
              <w:top w:w="0" w:type="dxa"/>
              <w:left w:w="108" w:type="dxa"/>
              <w:bottom w:w="0" w:type="dxa"/>
              <w:right w:w="108" w:type="dxa"/>
            </w:tcMar>
          </w:tcPr>
          <w:p w14:paraId="123E1D38" w14:textId="77777777" w:rsidR="000E78C3" w:rsidRDefault="000E78C3">
            <w:pPr>
              <w:rPr>
                <w:b/>
                <w:spacing w:val="-3"/>
              </w:rPr>
            </w:pPr>
          </w:p>
        </w:tc>
        <w:tc>
          <w:tcPr>
            <w:tcW w:w="5293" w:type="dxa"/>
            <w:shd w:val="clear" w:color="auto" w:fill="auto"/>
            <w:tcMar>
              <w:top w:w="0" w:type="dxa"/>
              <w:left w:w="108" w:type="dxa"/>
              <w:bottom w:w="0" w:type="dxa"/>
              <w:right w:w="108" w:type="dxa"/>
            </w:tcMar>
          </w:tcPr>
          <w:p w14:paraId="73F3A503" w14:textId="702248CF" w:rsidR="000E78C3" w:rsidRDefault="00311867">
            <w:pPr>
              <w:ind w:left="360"/>
              <w:jc w:val="center"/>
              <w:rPr>
                <w:b/>
                <w:spacing w:val="-3"/>
              </w:rPr>
            </w:pPr>
            <w:r>
              <w:rPr>
                <w:b/>
                <w:spacing w:val="-3"/>
              </w:rPr>
              <w:t>THE COMPETITION AND MARKETS AUTHORITY</w:t>
            </w:r>
          </w:p>
        </w:tc>
        <w:tc>
          <w:tcPr>
            <w:tcW w:w="2057" w:type="dxa"/>
            <w:shd w:val="clear" w:color="auto" w:fill="auto"/>
            <w:tcMar>
              <w:top w:w="0" w:type="dxa"/>
              <w:left w:w="108" w:type="dxa"/>
              <w:bottom w:w="0" w:type="dxa"/>
              <w:right w:w="108" w:type="dxa"/>
            </w:tcMar>
          </w:tcPr>
          <w:p w14:paraId="650E62B7" w14:textId="77777777" w:rsidR="000E78C3" w:rsidRDefault="000E78C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tc>
      </w:tr>
      <w:tr w:rsidR="000E78C3" w14:paraId="2CBAE7EC" w14:textId="77777777">
        <w:trPr>
          <w:jc w:val="center"/>
        </w:trPr>
        <w:tc>
          <w:tcPr>
            <w:tcW w:w="1776" w:type="dxa"/>
            <w:shd w:val="clear" w:color="auto" w:fill="auto"/>
            <w:tcMar>
              <w:top w:w="0" w:type="dxa"/>
              <w:left w:w="108" w:type="dxa"/>
              <w:bottom w:w="0" w:type="dxa"/>
              <w:right w:w="108" w:type="dxa"/>
            </w:tcMar>
          </w:tcPr>
          <w:p w14:paraId="0D60BACD" w14:textId="77777777" w:rsidR="000E78C3" w:rsidRDefault="000E78C3">
            <w:pPr>
              <w:rPr>
                <w:b/>
                <w:spacing w:val="-3"/>
              </w:rPr>
            </w:pPr>
          </w:p>
        </w:tc>
        <w:tc>
          <w:tcPr>
            <w:tcW w:w="5293" w:type="dxa"/>
            <w:shd w:val="clear" w:color="auto" w:fill="auto"/>
            <w:tcMar>
              <w:top w:w="0" w:type="dxa"/>
              <w:left w:w="108" w:type="dxa"/>
              <w:bottom w:w="0" w:type="dxa"/>
              <w:right w:w="108" w:type="dxa"/>
            </w:tcMar>
          </w:tcPr>
          <w:p w14:paraId="52EB08BD" w14:textId="77777777" w:rsidR="000E78C3" w:rsidRDefault="000E78C3">
            <w:pPr>
              <w:rPr>
                <w:b/>
                <w:spacing w:val="-3"/>
              </w:rPr>
            </w:pPr>
          </w:p>
        </w:tc>
        <w:tc>
          <w:tcPr>
            <w:tcW w:w="2057" w:type="dxa"/>
            <w:shd w:val="clear" w:color="auto" w:fill="auto"/>
            <w:tcMar>
              <w:top w:w="0" w:type="dxa"/>
              <w:left w:w="108" w:type="dxa"/>
              <w:bottom w:w="0" w:type="dxa"/>
              <w:right w:w="108" w:type="dxa"/>
            </w:tcMar>
          </w:tcPr>
          <w:p w14:paraId="1DBB1254" w14:textId="77777777" w:rsidR="000E78C3" w:rsidRDefault="00166C1A">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rPr>
                <w:b w:val="0"/>
              </w:rPr>
            </w:pPr>
            <w:r>
              <w:rPr>
                <w:b w:val="0"/>
              </w:rPr>
              <w:t>Claimant</w:t>
            </w:r>
          </w:p>
        </w:tc>
      </w:tr>
      <w:tr w:rsidR="000E78C3" w14:paraId="02065B39" w14:textId="77777777">
        <w:trPr>
          <w:jc w:val="center"/>
        </w:trPr>
        <w:tc>
          <w:tcPr>
            <w:tcW w:w="1776" w:type="dxa"/>
            <w:shd w:val="clear" w:color="auto" w:fill="auto"/>
            <w:tcMar>
              <w:top w:w="0" w:type="dxa"/>
              <w:left w:w="108" w:type="dxa"/>
              <w:bottom w:w="0" w:type="dxa"/>
              <w:right w:w="108" w:type="dxa"/>
            </w:tcMar>
          </w:tcPr>
          <w:p w14:paraId="1960268C" w14:textId="77777777" w:rsidR="000E78C3" w:rsidRDefault="000E78C3">
            <w:pPr>
              <w:rPr>
                <w:b/>
                <w:spacing w:val="-3"/>
              </w:rPr>
            </w:pPr>
          </w:p>
        </w:tc>
        <w:tc>
          <w:tcPr>
            <w:tcW w:w="5293" w:type="dxa"/>
            <w:shd w:val="clear" w:color="auto" w:fill="auto"/>
            <w:tcMar>
              <w:top w:w="0" w:type="dxa"/>
              <w:left w:w="108" w:type="dxa"/>
              <w:bottom w:w="0" w:type="dxa"/>
              <w:right w:w="108" w:type="dxa"/>
            </w:tcMar>
          </w:tcPr>
          <w:p w14:paraId="18B38C39" w14:textId="77777777" w:rsidR="000E78C3" w:rsidRDefault="00166C1A">
            <w:pPr>
              <w:jc w:val="center"/>
              <w:rPr>
                <w:b/>
                <w:spacing w:val="-3"/>
              </w:rPr>
            </w:pPr>
            <w:r>
              <w:rPr>
                <w:b/>
                <w:spacing w:val="-3"/>
              </w:rPr>
              <w:t>- and -</w:t>
            </w:r>
          </w:p>
        </w:tc>
        <w:tc>
          <w:tcPr>
            <w:tcW w:w="2057" w:type="dxa"/>
            <w:shd w:val="clear" w:color="auto" w:fill="auto"/>
            <w:tcMar>
              <w:top w:w="0" w:type="dxa"/>
              <w:left w:w="108" w:type="dxa"/>
              <w:bottom w:w="0" w:type="dxa"/>
              <w:right w:w="108" w:type="dxa"/>
            </w:tcMar>
          </w:tcPr>
          <w:p w14:paraId="3B17257F" w14:textId="77777777" w:rsidR="000E78C3" w:rsidRDefault="000E78C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tc>
      </w:tr>
      <w:tr w:rsidR="000E78C3" w14:paraId="7BAFA5AF" w14:textId="77777777">
        <w:trPr>
          <w:jc w:val="center"/>
        </w:trPr>
        <w:tc>
          <w:tcPr>
            <w:tcW w:w="1776" w:type="dxa"/>
            <w:shd w:val="clear" w:color="auto" w:fill="auto"/>
            <w:tcMar>
              <w:top w:w="0" w:type="dxa"/>
              <w:left w:w="108" w:type="dxa"/>
              <w:bottom w:w="0" w:type="dxa"/>
              <w:right w:w="108" w:type="dxa"/>
            </w:tcMar>
          </w:tcPr>
          <w:p w14:paraId="48E64444" w14:textId="77777777" w:rsidR="000E78C3" w:rsidRDefault="000E78C3">
            <w:pPr>
              <w:rPr>
                <w:b/>
                <w:spacing w:val="-3"/>
              </w:rPr>
            </w:pPr>
          </w:p>
        </w:tc>
        <w:tc>
          <w:tcPr>
            <w:tcW w:w="5293" w:type="dxa"/>
            <w:shd w:val="clear" w:color="auto" w:fill="auto"/>
            <w:tcMar>
              <w:top w:w="0" w:type="dxa"/>
              <w:left w:w="108" w:type="dxa"/>
              <w:bottom w:w="0" w:type="dxa"/>
              <w:right w:w="108" w:type="dxa"/>
            </w:tcMar>
          </w:tcPr>
          <w:p w14:paraId="44D5C523" w14:textId="77777777" w:rsidR="000E78C3" w:rsidRDefault="000E78C3">
            <w:pPr>
              <w:rPr>
                <w:b/>
                <w:spacing w:val="-3"/>
              </w:rPr>
            </w:pPr>
          </w:p>
        </w:tc>
        <w:tc>
          <w:tcPr>
            <w:tcW w:w="2057" w:type="dxa"/>
            <w:shd w:val="clear" w:color="auto" w:fill="auto"/>
            <w:tcMar>
              <w:top w:w="0" w:type="dxa"/>
              <w:left w:w="108" w:type="dxa"/>
              <w:bottom w:w="0" w:type="dxa"/>
              <w:right w:w="108" w:type="dxa"/>
            </w:tcMar>
          </w:tcPr>
          <w:p w14:paraId="57F8B7CA" w14:textId="77777777" w:rsidR="000E78C3" w:rsidRDefault="000E78C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p>
        </w:tc>
      </w:tr>
      <w:tr w:rsidR="000E78C3" w14:paraId="61C54794" w14:textId="77777777">
        <w:trPr>
          <w:jc w:val="center"/>
        </w:trPr>
        <w:tc>
          <w:tcPr>
            <w:tcW w:w="1776" w:type="dxa"/>
            <w:shd w:val="clear" w:color="auto" w:fill="auto"/>
            <w:tcMar>
              <w:top w:w="0" w:type="dxa"/>
              <w:left w:w="108" w:type="dxa"/>
              <w:bottom w:w="0" w:type="dxa"/>
              <w:right w:w="108" w:type="dxa"/>
            </w:tcMar>
          </w:tcPr>
          <w:p w14:paraId="1C741A98" w14:textId="77777777" w:rsidR="000E78C3" w:rsidRDefault="000E78C3">
            <w:pPr>
              <w:rPr>
                <w:spacing w:val="-3"/>
              </w:rPr>
            </w:pPr>
          </w:p>
        </w:tc>
        <w:tc>
          <w:tcPr>
            <w:tcW w:w="5293" w:type="dxa"/>
            <w:shd w:val="clear" w:color="auto" w:fill="auto"/>
            <w:tcMar>
              <w:top w:w="0" w:type="dxa"/>
              <w:left w:w="108" w:type="dxa"/>
              <w:bottom w:w="0" w:type="dxa"/>
              <w:right w:w="108" w:type="dxa"/>
            </w:tcMar>
          </w:tcPr>
          <w:p w14:paraId="2D2D01FA" w14:textId="6D467AB9" w:rsidR="000E78C3" w:rsidRDefault="00F047FF" w:rsidP="00311867">
            <w:pPr>
              <w:jc w:val="center"/>
              <w:rPr>
                <w:b/>
                <w:spacing w:val="-3"/>
              </w:rPr>
            </w:pPr>
            <w:r>
              <w:rPr>
                <w:b/>
                <w:spacing w:val="-3"/>
              </w:rPr>
              <w:t>CONCORDIA INTERNATIONAL RX (UK) LIMITED</w:t>
            </w:r>
          </w:p>
        </w:tc>
        <w:tc>
          <w:tcPr>
            <w:tcW w:w="2057" w:type="dxa"/>
            <w:shd w:val="clear" w:color="auto" w:fill="auto"/>
            <w:tcMar>
              <w:top w:w="0" w:type="dxa"/>
              <w:left w:w="108" w:type="dxa"/>
              <w:bottom w:w="0" w:type="dxa"/>
              <w:right w:w="108" w:type="dxa"/>
            </w:tcMar>
          </w:tcPr>
          <w:p w14:paraId="532611E5" w14:textId="77777777" w:rsidR="000E78C3" w:rsidRDefault="000E78C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rPr>
                <w:b w:val="0"/>
              </w:rPr>
            </w:pPr>
          </w:p>
          <w:p w14:paraId="32B1959C" w14:textId="3BB6E3E5" w:rsidR="00A95C7E" w:rsidRPr="00A95C7E" w:rsidRDefault="00A95C7E">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rPr>
                <w:b w:val="0"/>
              </w:rPr>
            </w:pPr>
            <w:r w:rsidRPr="00A95C7E">
              <w:rPr>
                <w:b w:val="0"/>
              </w:rPr>
              <w:t>Defendant</w:t>
            </w:r>
          </w:p>
        </w:tc>
      </w:tr>
    </w:tbl>
    <w:p w14:paraId="5DCBCBDB" w14:textId="77777777" w:rsidR="000E78C3" w:rsidRDefault="000E78C3">
      <w:pPr>
        <w:rPr>
          <w:b/>
          <w:spacing w:val="-3"/>
        </w:rPr>
      </w:pPr>
    </w:p>
    <w:p w14:paraId="6E588897" w14:textId="77777777" w:rsidR="000E78C3" w:rsidRDefault="00166C1A">
      <w:pPr>
        <w:jc w:val="center"/>
        <w:rPr>
          <w:spacing w:val="-3"/>
        </w:rPr>
      </w:pPr>
      <w:r>
        <w:rPr>
          <w:spacing w:val="-3"/>
        </w:rPr>
        <w:t>- - - - - - - - - - - - - - - - - - - - -</w:t>
      </w:r>
    </w:p>
    <w:p w14:paraId="786F10AC" w14:textId="77777777" w:rsidR="00C5753B" w:rsidRDefault="00C5753B">
      <w:pPr>
        <w:jc w:val="center"/>
        <w:rPr>
          <w:spacing w:val="-3"/>
        </w:rPr>
      </w:pPr>
    </w:p>
    <w:p w14:paraId="38C016F9" w14:textId="77777777" w:rsidR="000E78C3" w:rsidRDefault="00166C1A">
      <w:pPr>
        <w:jc w:val="center"/>
        <w:rPr>
          <w:spacing w:val="-3"/>
        </w:rPr>
      </w:pPr>
      <w:r>
        <w:rPr>
          <w:spacing w:val="-3"/>
        </w:rPr>
        <w:t>- - - - - - - - - - - - - - - - - - - - -</w:t>
      </w:r>
    </w:p>
    <w:p w14:paraId="3C3E212E" w14:textId="77777777" w:rsidR="000E78C3" w:rsidRDefault="000E78C3">
      <w:pPr>
        <w:jc w:val="center"/>
        <w:rPr>
          <w:spacing w:val="-3"/>
        </w:rPr>
      </w:pPr>
    </w:p>
    <w:p w14:paraId="368BA991" w14:textId="436D2266" w:rsidR="000E78C3" w:rsidRDefault="00166C1A">
      <w:pPr>
        <w:jc w:val="center"/>
      </w:pPr>
      <w:r>
        <w:rPr>
          <w:b/>
          <w:spacing w:val="-3"/>
        </w:rPr>
        <w:t xml:space="preserve">Mr </w:t>
      </w:r>
      <w:r w:rsidR="007010D4">
        <w:rPr>
          <w:b/>
          <w:spacing w:val="-3"/>
        </w:rPr>
        <w:t>Jason Beer</w:t>
      </w:r>
      <w:r>
        <w:rPr>
          <w:b/>
          <w:spacing w:val="-3"/>
        </w:rPr>
        <w:t>, QC</w:t>
      </w:r>
      <w:r>
        <w:rPr>
          <w:spacing w:val="-3"/>
        </w:rPr>
        <w:t>,</w:t>
      </w:r>
      <w:r>
        <w:rPr>
          <w:b/>
          <w:spacing w:val="-3"/>
        </w:rPr>
        <w:t xml:space="preserve"> Mr </w:t>
      </w:r>
      <w:r w:rsidR="007010D4">
        <w:rPr>
          <w:b/>
          <w:spacing w:val="-3"/>
        </w:rPr>
        <w:t>Rob Williams</w:t>
      </w:r>
      <w:r>
        <w:rPr>
          <w:b/>
          <w:spacing w:val="-3"/>
        </w:rPr>
        <w:t xml:space="preserve"> </w:t>
      </w:r>
      <w:r>
        <w:rPr>
          <w:spacing w:val="-3"/>
        </w:rPr>
        <w:t>and</w:t>
      </w:r>
      <w:r>
        <w:rPr>
          <w:bCs/>
          <w:spacing w:val="-3"/>
        </w:rPr>
        <w:t xml:space="preserve"> </w:t>
      </w:r>
      <w:r>
        <w:rPr>
          <w:b/>
          <w:bCs/>
          <w:spacing w:val="-3"/>
        </w:rPr>
        <w:t>M</w:t>
      </w:r>
      <w:r w:rsidR="007010D4">
        <w:rPr>
          <w:b/>
          <w:bCs/>
          <w:spacing w:val="-3"/>
        </w:rPr>
        <w:t>s</w:t>
      </w:r>
      <w:r>
        <w:rPr>
          <w:b/>
          <w:bCs/>
          <w:spacing w:val="-3"/>
        </w:rPr>
        <w:t xml:space="preserve"> </w:t>
      </w:r>
      <w:r w:rsidR="00786B40">
        <w:rPr>
          <w:b/>
          <w:bCs/>
          <w:spacing w:val="-3"/>
        </w:rPr>
        <w:t>Charlotte Ventham</w:t>
      </w:r>
      <w:r>
        <w:rPr>
          <w:b/>
          <w:bCs/>
          <w:spacing w:val="-3"/>
        </w:rPr>
        <w:t xml:space="preserve"> </w:t>
      </w:r>
      <w:r>
        <w:rPr>
          <w:bCs/>
          <w:spacing w:val="-3"/>
        </w:rPr>
        <w:t>(instructed by</w:t>
      </w:r>
      <w:r>
        <w:rPr>
          <w:b/>
          <w:spacing w:val="-3"/>
        </w:rPr>
        <w:t xml:space="preserve"> </w:t>
      </w:r>
      <w:r w:rsidR="007A3E6A">
        <w:rPr>
          <w:b/>
          <w:spacing w:val="-3"/>
        </w:rPr>
        <w:t>The Competition and Markets Authority</w:t>
      </w:r>
      <w:r>
        <w:rPr>
          <w:bCs/>
          <w:spacing w:val="-3"/>
        </w:rPr>
        <w:t>) for the</w:t>
      </w:r>
      <w:r>
        <w:rPr>
          <w:spacing w:val="-3"/>
        </w:rPr>
        <w:t xml:space="preserve"> </w:t>
      </w:r>
      <w:r>
        <w:rPr>
          <w:b/>
          <w:bCs/>
          <w:spacing w:val="-3"/>
        </w:rPr>
        <w:t>Claimant</w:t>
      </w:r>
    </w:p>
    <w:p w14:paraId="26F500EF" w14:textId="41704D1D" w:rsidR="000E78C3" w:rsidRDefault="00166C1A">
      <w:pPr>
        <w:jc w:val="center"/>
      </w:pPr>
      <w:r>
        <w:rPr>
          <w:b/>
          <w:bCs/>
          <w:spacing w:val="-3"/>
        </w:rPr>
        <w:t xml:space="preserve">Mr </w:t>
      </w:r>
      <w:r w:rsidR="007A3E6A">
        <w:rPr>
          <w:b/>
          <w:bCs/>
          <w:spacing w:val="-3"/>
        </w:rPr>
        <w:t>Mark Brealey</w:t>
      </w:r>
      <w:r>
        <w:rPr>
          <w:b/>
          <w:bCs/>
          <w:spacing w:val="-3"/>
        </w:rPr>
        <w:t xml:space="preserve">, QC </w:t>
      </w:r>
      <w:r>
        <w:rPr>
          <w:bCs/>
          <w:spacing w:val="-3"/>
        </w:rPr>
        <w:t>(instructed by</w:t>
      </w:r>
      <w:r>
        <w:rPr>
          <w:b/>
          <w:bCs/>
          <w:spacing w:val="-3"/>
        </w:rPr>
        <w:t xml:space="preserve"> </w:t>
      </w:r>
      <w:r w:rsidR="000814C6">
        <w:rPr>
          <w:b/>
          <w:bCs/>
          <w:spacing w:val="-3"/>
        </w:rPr>
        <w:t>Morgan, Lewis and Bockius UK LLP</w:t>
      </w:r>
      <w:r>
        <w:rPr>
          <w:bCs/>
          <w:spacing w:val="-3"/>
        </w:rPr>
        <w:t>)</w:t>
      </w:r>
      <w:r>
        <w:rPr>
          <w:b/>
          <w:bCs/>
          <w:spacing w:val="-3"/>
        </w:rPr>
        <w:t xml:space="preserve"> </w:t>
      </w:r>
      <w:r>
        <w:rPr>
          <w:bCs/>
          <w:spacing w:val="-3"/>
        </w:rPr>
        <w:t xml:space="preserve">for the </w:t>
      </w:r>
      <w:r>
        <w:rPr>
          <w:b/>
          <w:bCs/>
          <w:spacing w:val="-3"/>
        </w:rPr>
        <w:t>Defendant</w:t>
      </w:r>
      <w:r>
        <w:rPr>
          <w:bCs/>
          <w:spacing w:val="-3"/>
        </w:rPr>
        <w:t xml:space="preserve"> </w:t>
      </w:r>
    </w:p>
    <w:p w14:paraId="2031A1D3" w14:textId="77777777" w:rsidR="000E78C3" w:rsidRDefault="000E78C3">
      <w:pPr>
        <w:jc w:val="center"/>
        <w:rPr>
          <w:spacing w:val="-3"/>
        </w:rPr>
      </w:pPr>
    </w:p>
    <w:p w14:paraId="1A343F41" w14:textId="146305A1" w:rsidR="000E78C3" w:rsidRDefault="00166C1A">
      <w:pPr>
        <w:jc w:val="center"/>
        <w:rPr>
          <w:spacing w:val="-3"/>
        </w:rPr>
      </w:pPr>
      <w:r>
        <w:rPr>
          <w:spacing w:val="-3"/>
        </w:rPr>
        <w:t>Hearing date:</w:t>
      </w:r>
      <w:r>
        <w:rPr>
          <w:b/>
          <w:spacing w:val="-3"/>
        </w:rPr>
        <w:t xml:space="preserve"> </w:t>
      </w:r>
      <w:r w:rsidR="00A95C7E">
        <w:rPr>
          <w:spacing w:val="-3"/>
        </w:rPr>
        <w:t>5 December 2018</w:t>
      </w:r>
    </w:p>
    <w:p w14:paraId="05BFDBC8" w14:textId="2C5F3045" w:rsidR="00996F8B" w:rsidRDefault="00996F8B">
      <w:pPr>
        <w:jc w:val="center"/>
        <w:rPr>
          <w:spacing w:val="-3"/>
        </w:rPr>
      </w:pPr>
    </w:p>
    <w:p w14:paraId="616B68FE" w14:textId="77777777" w:rsidR="000E78C3" w:rsidRDefault="00166C1A">
      <w:pPr>
        <w:jc w:val="center"/>
        <w:rPr>
          <w:spacing w:val="-3"/>
        </w:rPr>
      </w:pPr>
      <w:r>
        <w:rPr>
          <w:spacing w:val="-3"/>
        </w:rPr>
        <w:t>- - - - - - - - - - - - - - - - - - - - -</w:t>
      </w:r>
    </w:p>
    <w:p w14:paraId="70A7C3F1" w14:textId="659E0BE5" w:rsidR="000E78C3" w:rsidRDefault="00C11C01">
      <w:pPr>
        <w:pStyle w:val="CoverDesc"/>
      </w:pPr>
      <w:r>
        <w:t xml:space="preserve">Approved </w:t>
      </w:r>
      <w:r w:rsidR="00166C1A">
        <w:t>J</w:t>
      </w:r>
      <w:r>
        <w:t>udgment</w:t>
      </w:r>
    </w:p>
    <w:p w14:paraId="59019AC8" w14:textId="60155675" w:rsidR="00996F8B" w:rsidRDefault="00C11C01">
      <w:pPr>
        <w:pStyle w:val="CoverDesc"/>
      </w:pPr>
      <w:r>
        <w:t>(Open)</w:t>
      </w:r>
    </w:p>
    <w:p w14:paraId="692FFC6A" w14:textId="77777777" w:rsidR="00C519F4" w:rsidRDefault="00C519F4" w:rsidP="00C11C01">
      <w:pPr>
        <w:jc w:val="center"/>
      </w:pPr>
    </w:p>
    <w:p w14:paraId="73A88BD3" w14:textId="50E480DA" w:rsidR="00C11C01" w:rsidRDefault="00C11C01" w:rsidP="001B1A13">
      <w:pPr>
        <w:jc w:val="both"/>
      </w:pPr>
      <w:bookmarkStart w:id="1" w:name="_GoBack"/>
      <w:bookmarkEnd w:id="1"/>
      <w:r>
        <w:t>I direct that pursuant to CPR PD 39A para 6.1 no official shorthand note shall be taken of this Judgment and that copies of this version as handed down may be treated as authentic.</w:t>
      </w:r>
    </w:p>
    <w:p w14:paraId="3F4AC063" w14:textId="206A51E1" w:rsidR="000E78C3" w:rsidRDefault="00166C1A" w:rsidP="00746607">
      <w:pPr>
        <w:keepNext/>
        <w:spacing w:after="240"/>
        <w:rPr>
          <w:b/>
        </w:rPr>
      </w:pPr>
      <w:r>
        <w:rPr>
          <w:b/>
        </w:rPr>
        <w:lastRenderedPageBreak/>
        <w:t>Mr Justice Marcus Smith:</w:t>
      </w:r>
    </w:p>
    <w:p w14:paraId="31C37D24" w14:textId="77777777" w:rsidR="000E78C3" w:rsidRDefault="000E78C3" w:rsidP="00746607">
      <w:pPr>
        <w:keepNext/>
        <w:spacing w:after="240"/>
      </w:pPr>
    </w:p>
    <w:p w14:paraId="33A4AC7D" w14:textId="1F06BF8C" w:rsidR="000E78C3" w:rsidRDefault="00D31E08" w:rsidP="00746607">
      <w:pPr>
        <w:keepNext/>
        <w:tabs>
          <w:tab w:val="left" w:pos="567"/>
        </w:tabs>
        <w:autoSpaceDE w:val="0"/>
        <w:spacing w:before="240" w:after="240"/>
        <w:jc w:val="both"/>
        <w:rPr>
          <w:b/>
          <w:lang w:val="en-US"/>
        </w:rPr>
      </w:pPr>
      <w:r>
        <w:rPr>
          <w:b/>
          <w:lang w:val="en-US"/>
        </w:rPr>
        <w:t>A.</w:t>
      </w:r>
      <w:r>
        <w:rPr>
          <w:b/>
          <w:lang w:val="en-US"/>
        </w:rPr>
        <w:tab/>
      </w:r>
      <w:r w:rsidR="006D129E">
        <w:rPr>
          <w:b/>
          <w:lang w:val="en-US"/>
        </w:rPr>
        <w:t>INTRODUCTION</w:t>
      </w:r>
    </w:p>
    <w:p w14:paraId="3B89A9B1" w14:textId="56322E23" w:rsidR="007B62F2" w:rsidRPr="007B62F2" w:rsidRDefault="007B62F2" w:rsidP="00BA13AA">
      <w:pPr>
        <w:numPr>
          <w:ilvl w:val="0"/>
          <w:numId w:val="2"/>
        </w:numPr>
        <w:autoSpaceDE w:val="0"/>
        <w:spacing w:before="240" w:after="240"/>
        <w:jc w:val="both"/>
      </w:pPr>
      <w:bookmarkStart w:id="2" w:name="_Hlk509249848"/>
      <w:r>
        <w:t xml:space="preserve">Under section </w:t>
      </w:r>
      <w:r w:rsidR="00143C68">
        <w:t xml:space="preserve">28 of the Competition Act 1998, the High Court has power to issue warrants enabling </w:t>
      </w:r>
      <w:r w:rsidR="00350D3D">
        <w:t xml:space="preserve">the </w:t>
      </w:r>
      <w:r w:rsidR="00350D3D">
        <w:rPr>
          <w:lang w:val="en-US"/>
        </w:rPr>
        <w:t xml:space="preserve">Competition and Markets Authority (the “CMA”) to enter and search </w:t>
      </w:r>
      <w:r w:rsidR="0027197B">
        <w:rPr>
          <w:lang w:val="en-US"/>
        </w:rPr>
        <w:t xml:space="preserve">business premises for the purposes of an investigation under the </w:t>
      </w:r>
      <w:r w:rsidR="006D2314">
        <w:rPr>
          <w:lang w:val="en-US"/>
        </w:rPr>
        <w:t xml:space="preserve">Competition Act 1998. Such applications </w:t>
      </w:r>
      <w:r w:rsidR="007D64B6">
        <w:rPr>
          <w:lang w:val="en-US"/>
        </w:rPr>
        <w:t xml:space="preserve">are made without notice to the occupier or person </w:t>
      </w:r>
      <w:r w:rsidR="00713E7B">
        <w:rPr>
          <w:lang w:val="en-US"/>
        </w:rPr>
        <w:t xml:space="preserve">in charge of the premises which are the subject of the warrant, and the application is made in private. </w:t>
      </w:r>
      <w:r w:rsidR="00CB15B5">
        <w:rPr>
          <w:lang w:val="en-US"/>
        </w:rPr>
        <w:t>Where a warrant under section 28 is granted, it may be challenged by a subsequent application to the High Court.</w:t>
      </w:r>
    </w:p>
    <w:p w14:paraId="1A0DAF69" w14:textId="1A620026" w:rsidR="00C14D48" w:rsidRPr="00293BC7" w:rsidRDefault="00B50116" w:rsidP="00BA13AA">
      <w:pPr>
        <w:numPr>
          <w:ilvl w:val="0"/>
          <w:numId w:val="2"/>
        </w:numPr>
        <w:autoSpaceDE w:val="0"/>
        <w:spacing w:before="240" w:after="240"/>
        <w:jc w:val="both"/>
      </w:pPr>
      <w:r>
        <w:rPr>
          <w:lang w:val="en-US"/>
        </w:rPr>
        <w:t xml:space="preserve">On 5 October </w:t>
      </w:r>
      <w:r w:rsidR="006F0C40">
        <w:rPr>
          <w:lang w:val="en-US"/>
        </w:rPr>
        <w:t xml:space="preserve">2017, the </w:t>
      </w:r>
      <w:r w:rsidR="000B46F7">
        <w:rPr>
          <w:lang w:val="en-US"/>
        </w:rPr>
        <w:t>Claimant</w:t>
      </w:r>
      <w:r w:rsidR="008B4F4D">
        <w:rPr>
          <w:lang w:val="en-US"/>
        </w:rPr>
        <w:t xml:space="preserve"> – </w:t>
      </w:r>
      <w:r w:rsidR="000B46F7">
        <w:rPr>
          <w:lang w:val="en-US"/>
        </w:rPr>
        <w:t>the</w:t>
      </w:r>
      <w:r w:rsidR="000E3E33">
        <w:rPr>
          <w:lang w:val="en-US"/>
        </w:rPr>
        <w:t xml:space="preserve"> CMA</w:t>
      </w:r>
      <w:r w:rsidR="008B4F4D">
        <w:rPr>
          <w:lang w:val="en-US"/>
        </w:rPr>
        <w:t xml:space="preserve"> –</w:t>
      </w:r>
      <w:r w:rsidR="006F0C40">
        <w:rPr>
          <w:lang w:val="en-US"/>
        </w:rPr>
        <w:t xml:space="preserve"> applied to Mann</w:t>
      </w:r>
      <w:r w:rsidR="002A04C3">
        <w:rPr>
          <w:lang w:val="en-US"/>
        </w:rPr>
        <w:t xml:space="preserve"> J</w:t>
      </w:r>
      <w:r w:rsidR="006F0C40">
        <w:rPr>
          <w:lang w:val="en-US"/>
        </w:rPr>
        <w:t xml:space="preserve"> </w:t>
      </w:r>
      <w:r w:rsidR="003E2A50">
        <w:rPr>
          <w:lang w:val="en-US"/>
        </w:rPr>
        <w:t xml:space="preserve">for </w:t>
      </w:r>
      <w:r w:rsidR="003774BA">
        <w:rPr>
          <w:lang w:val="en-US"/>
        </w:rPr>
        <w:t xml:space="preserve">various </w:t>
      </w:r>
      <w:r w:rsidR="006F0C40">
        <w:rPr>
          <w:lang w:val="en-US"/>
        </w:rPr>
        <w:t>warrant</w:t>
      </w:r>
      <w:r w:rsidR="000E3E33">
        <w:rPr>
          <w:lang w:val="en-US"/>
        </w:rPr>
        <w:t>s</w:t>
      </w:r>
      <w:r w:rsidR="006F0C40">
        <w:rPr>
          <w:lang w:val="en-US"/>
        </w:rPr>
        <w:t xml:space="preserve"> under section 28 against (amongst others) the Defendant</w:t>
      </w:r>
      <w:r w:rsidR="000B46F7">
        <w:rPr>
          <w:lang w:val="en-US"/>
        </w:rPr>
        <w:t>, Concordia International Rx (UK) Limited (“Concordia”).</w:t>
      </w:r>
    </w:p>
    <w:p w14:paraId="58063DC4" w14:textId="0CADC00F" w:rsidR="00591234" w:rsidRDefault="00E42ECA" w:rsidP="002A04C3">
      <w:pPr>
        <w:numPr>
          <w:ilvl w:val="0"/>
          <w:numId w:val="2"/>
        </w:numPr>
        <w:autoSpaceDE w:val="0"/>
        <w:spacing w:before="240" w:after="240"/>
        <w:jc w:val="both"/>
      </w:pPr>
      <w:r>
        <w:t xml:space="preserve">The application </w:t>
      </w:r>
      <w:r w:rsidR="00DA24F9">
        <w:t xml:space="preserve">was supported by </w:t>
      </w:r>
      <w:r w:rsidR="002A7299">
        <w:t>certain</w:t>
      </w:r>
      <w:r w:rsidR="00DA24F9">
        <w:t xml:space="preserve"> confidential </w:t>
      </w:r>
      <w:r w:rsidR="002A7299">
        <w:t>material</w:t>
      </w:r>
      <w:r w:rsidR="00DA24F9">
        <w:t xml:space="preserve">, which is entirely usual in such </w:t>
      </w:r>
      <w:r w:rsidR="00C45046">
        <w:t xml:space="preserve">applications. </w:t>
      </w:r>
      <w:r w:rsidR="00270A2F">
        <w:t>After hearing submissions from the CMA</w:t>
      </w:r>
      <w:r w:rsidR="00AE214D">
        <w:t xml:space="preserve">, and considering the evidence, Mann J granted </w:t>
      </w:r>
      <w:r w:rsidR="00056601">
        <w:t xml:space="preserve">various section 28 warrants, including a warrant against </w:t>
      </w:r>
      <w:r w:rsidR="0086569C">
        <w:t>Concordia</w:t>
      </w:r>
      <w:r w:rsidR="009137D2">
        <w:t xml:space="preserve"> (the “Warrant”)</w:t>
      </w:r>
      <w:r w:rsidR="0086569C">
        <w:t>.</w:t>
      </w:r>
    </w:p>
    <w:p w14:paraId="57283E96" w14:textId="16370EED" w:rsidR="0086569C" w:rsidRDefault="00C45046" w:rsidP="00CC7DA4">
      <w:pPr>
        <w:numPr>
          <w:ilvl w:val="0"/>
          <w:numId w:val="2"/>
        </w:numPr>
        <w:autoSpaceDE w:val="0"/>
        <w:spacing w:before="240" w:after="240"/>
        <w:jc w:val="both"/>
      </w:pPr>
      <w:r>
        <w:t xml:space="preserve">The Warrant </w:t>
      </w:r>
      <w:r w:rsidR="00CC7DA4">
        <w:t xml:space="preserve">applied to documents relating to an investigation into suspected </w:t>
      </w:r>
      <w:r w:rsidR="00CC4A74">
        <w:t xml:space="preserve">anti-competitive behaviours in relation to a number of pharmaceutical drugs (described in the Warrant as “relevant products”). </w:t>
      </w:r>
      <w:r w:rsidR="00E03EB0">
        <w:t>The relevant products – set out in Annex A to the Warrant – included:</w:t>
      </w:r>
    </w:p>
    <w:p w14:paraId="53225D01" w14:textId="3877A400" w:rsidR="00C14551" w:rsidRDefault="00E03EB0" w:rsidP="00C14551">
      <w:pPr>
        <w:numPr>
          <w:ilvl w:val="1"/>
          <w:numId w:val="2"/>
        </w:numPr>
        <w:autoSpaceDE w:val="0"/>
        <w:spacing w:before="240" w:after="240"/>
        <w:jc w:val="both"/>
      </w:pPr>
      <w:proofErr w:type="spellStart"/>
      <w:r>
        <w:t>Carbima</w:t>
      </w:r>
      <w:r w:rsidR="00C14551">
        <w:t>zole</w:t>
      </w:r>
      <w:proofErr w:type="spellEnd"/>
      <w:r w:rsidR="00C14551">
        <w:t xml:space="preserve"> 5mg and 20mg tablets (“</w:t>
      </w:r>
      <w:proofErr w:type="spellStart"/>
      <w:r w:rsidR="00C14551">
        <w:t>Carbimazole</w:t>
      </w:r>
      <w:proofErr w:type="spellEnd"/>
      <w:r w:rsidR="00C14551">
        <w:t>”); and</w:t>
      </w:r>
    </w:p>
    <w:p w14:paraId="60DB6DFD" w14:textId="67BC7720" w:rsidR="00C14551" w:rsidRDefault="00C14551" w:rsidP="00C14551">
      <w:pPr>
        <w:numPr>
          <w:ilvl w:val="1"/>
          <w:numId w:val="2"/>
        </w:numPr>
        <w:autoSpaceDE w:val="0"/>
        <w:spacing w:before="240" w:after="240"/>
        <w:jc w:val="both"/>
      </w:pPr>
      <w:r>
        <w:t>Hydrocorti</w:t>
      </w:r>
      <w:r w:rsidR="00006655">
        <w:t>s</w:t>
      </w:r>
      <w:r>
        <w:t>one 10mg tablets (“Hydrocorti</w:t>
      </w:r>
      <w:r w:rsidR="0051618D">
        <w:t>s</w:t>
      </w:r>
      <w:r>
        <w:t>one”)</w:t>
      </w:r>
      <w:r w:rsidR="004D36F0">
        <w:t>.</w:t>
      </w:r>
    </w:p>
    <w:p w14:paraId="6D5AF267" w14:textId="5C96451A" w:rsidR="00E03EB0" w:rsidRDefault="0009157A" w:rsidP="00CC7DA4">
      <w:pPr>
        <w:numPr>
          <w:ilvl w:val="0"/>
          <w:numId w:val="2"/>
        </w:numPr>
        <w:autoSpaceDE w:val="0"/>
        <w:spacing w:before="240" w:after="240"/>
        <w:jc w:val="both"/>
      </w:pPr>
      <w:r>
        <w:t>By an application notice dated 1</w:t>
      </w:r>
      <w:r w:rsidR="0084085B">
        <w:t>0</w:t>
      </w:r>
      <w:r>
        <w:t xml:space="preserve"> October 2017</w:t>
      </w:r>
      <w:r w:rsidR="00F626A6">
        <w:t xml:space="preserve">, Concordia applied to </w:t>
      </w:r>
      <w:r w:rsidR="0084085B">
        <w:t xml:space="preserve">have the Warrant discharged to the extent that </w:t>
      </w:r>
      <w:r w:rsidR="00990F67">
        <w:t>it applie</w:t>
      </w:r>
      <w:r w:rsidR="0063562B">
        <w:t>d</w:t>
      </w:r>
      <w:r w:rsidR="00990F67">
        <w:t xml:space="preserve"> to </w:t>
      </w:r>
      <w:proofErr w:type="spellStart"/>
      <w:r w:rsidR="000F1AE1">
        <w:t>Carbimazole</w:t>
      </w:r>
      <w:proofErr w:type="spellEnd"/>
      <w:r w:rsidR="000F1AE1">
        <w:t xml:space="preserve"> and Hydrocorti</w:t>
      </w:r>
      <w:r w:rsidR="00006655">
        <w:t>s</w:t>
      </w:r>
      <w:r w:rsidR="000F1AE1">
        <w:t>one</w:t>
      </w:r>
      <w:r w:rsidR="00990F67">
        <w:t xml:space="preserve">. Concordia does not seek to have the Warrant discharged in relation to </w:t>
      </w:r>
      <w:r w:rsidR="000F1AE1">
        <w:t>any other relevant products</w:t>
      </w:r>
      <w:r w:rsidR="00990F67">
        <w:t>.</w:t>
      </w:r>
    </w:p>
    <w:p w14:paraId="48F0D10C" w14:textId="7D738E45" w:rsidR="009C1757" w:rsidRDefault="000226D0" w:rsidP="00CC7DA4">
      <w:pPr>
        <w:numPr>
          <w:ilvl w:val="0"/>
          <w:numId w:val="2"/>
        </w:numPr>
        <w:autoSpaceDE w:val="0"/>
        <w:spacing w:before="240" w:after="240"/>
        <w:jc w:val="both"/>
      </w:pPr>
      <w:r>
        <w:t>That application is due to be heard on 1</w:t>
      </w:r>
      <w:r w:rsidR="00611478">
        <w:t>9</w:t>
      </w:r>
      <w:r>
        <w:t xml:space="preserve"> December 201</w:t>
      </w:r>
      <w:r w:rsidR="00365A69">
        <w:t>8</w:t>
      </w:r>
      <w:r>
        <w:t>.</w:t>
      </w:r>
      <w:r w:rsidR="00FB0E07">
        <w:t xml:space="preserve"> Before this application can be </w:t>
      </w:r>
      <w:r w:rsidR="004511A4">
        <w:t>heard</w:t>
      </w:r>
      <w:r w:rsidR="00FB0E07">
        <w:t xml:space="preserve">, it is </w:t>
      </w:r>
      <w:r w:rsidR="00A54438">
        <w:t xml:space="preserve">obviously </w:t>
      </w:r>
      <w:r w:rsidR="00FB0E07">
        <w:t xml:space="preserve">necessary to determine whether Concordia can have sight of </w:t>
      </w:r>
      <w:r w:rsidR="002A7299">
        <w:t>the</w:t>
      </w:r>
      <w:r w:rsidR="00513234">
        <w:t xml:space="preserve"> confidential material </w:t>
      </w:r>
      <w:r w:rsidR="00132D3E">
        <w:t>referred to in paragraph 3 above.</w:t>
      </w:r>
      <w:r w:rsidR="00746607">
        <w:t xml:space="preserve"> This judgment deals with that anterior issue. </w:t>
      </w:r>
    </w:p>
    <w:p w14:paraId="73465191" w14:textId="62696A15" w:rsidR="00A54438" w:rsidRDefault="008A0CD6" w:rsidP="00CC7DA4">
      <w:pPr>
        <w:numPr>
          <w:ilvl w:val="0"/>
          <w:numId w:val="2"/>
        </w:numPr>
        <w:autoSpaceDE w:val="0"/>
        <w:spacing w:before="240" w:after="240"/>
        <w:jc w:val="both"/>
      </w:pPr>
      <w:r>
        <w:t>It is necessary to begin by setting out the context in which an application</w:t>
      </w:r>
      <w:r w:rsidR="00B6674A">
        <w:t xml:space="preserve"> to set aside or vary a section 28 warrant takes place.</w:t>
      </w:r>
    </w:p>
    <w:p w14:paraId="40F0D05A" w14:textId="0B130329" w:rsidR="00C7467F" w:rsidRPr="00C7467F" w:rsidRDefault="00C7467F" w:rsidP="00746607">
      <w:pPr>
        <w:keepNext/>
        <w:tabs>
          <w:tab w:val="left" w:pos="567"/>
        </w:tabs>
        <w:autoSpaceDE w:val="0"/>
        <w:spacing w:before="240" w:after="240"/>
        <w:jc w:val="both"/>
        <w:rPr>
          <w:b/>
        </w:rPr>
      </w:pPr>
      <w:r>
        <w:rPr>
          <w:b/>
        </w:rPr>
        <w:t>B.</w:t>
      </w:r>
      <w:r>
        <w:rPr>
          <w:b/>
        </w:rPr>
        <w:tab/>
        <w:t>THE CONTEXT</w:t>
      </w:r>
    </w:p>
    <w:p w14:paraId="6A39B5E9" w14:textId="0EB8730B" w:rsidR="009E144A" w:rsidRDefault="00DF404E" w:rsidP="00C7467F">
      <w:pPr>
        <w:numPr>
          <w:ilvl w:val="0"/>
          <w:numId w:val="2"/>
        </w:numPr>
        <w:autoSpaceDE w:val="0"/>
        <w:spacing w:before="240" w:after="240"/>
        <w:jc w:val="both"/>
      </w:pPr>
      <w:r>
        <w:t>It is now clear law – following the decision</w:t>
      </w:r>
      <w:r w:rsidR="00081934">
        <w:t>s</w:t>
      </w:r>
      <w:r>
        <w:t xml:space="preserve"> of the Supreme Court </w:t>
      </w:r>
      <w:r w:rsidR="003772C4">
        <w:t xml:space="preserve">in </w:t>
      </w:r>
      <w:r w:rsidR="003772C4">
        <w:rPr>
          <w:i/>
        </w:rPr>
        <w:t>R (</w:t>
      </w:r>
      <w:proofErr w:type="spellStart"/>
      <w:r w:rsidR="003772C4">
        <w:rPr>
          <w:i/>
        </w:rPr>
        <w:t>Har</w:t>
      </w:r>
      <w:r w:rsidR="009E1353">
        <w:rPr>
          <w:i/>
        </w:rPr>
        <w:t>a</w:t>
      </w:r>
      <w:r w:rsidR="003772C4">
        <w:rPr>
          <w:i/>
        </w:rPr>
        <w:t>lambous</w:t>
      </w:r>
      <w:proofErr w:type="spellEnd"/>
      <w:r w:rsidR="00081934">
        <w:rPr>
          <w:i/>
        </w:rPr>
        <w:t xml:space="preserve">) v. Crown Court at St Albans </w:t>
      </w:r>
      <w:r w:rsidR="00081934">
        <w:t>[2018] UKSC 1</w:t>
      </w:r>
      <w:r w:rsidR="000D336C">
        <w:t xml:space="preserve"> (“</w:t>
      </w:r>
      <w:proofErr w:type="spellStart"/>
      <w:r w:rsidR="000D336C">
        <w:rPr>
          <w:i/>
        </w:rPr>
        <w:t>Har</w:t>
      </w:r>
      <w:r w:rsidR="009E1353">
        <w:rPr>
          <w:i/>
        </w:rPr>
        <w:t>a</w:t>
      </w:r>
      <w:r w:rsidR="000D336C">
        <w:rPr>
          <w:i/>
        </w:rPr>
        <w:t>lambous</w:t>
      </w:r>
      <w:proofErr w:type="spellEnd"/>
      <w:r w:rsidR="000D336C">
        <w:t>”)</w:t>
      </w:r>
      <w:r w:rsidR="000D336C">
        <w:rPr>
          <w:i/>
        </w:rPr>
        <w:t xml:space="preserve"> </w:t>
      </w:r>
      <w:r w:rsidR="00081934">
        <w:t xml:space="preserve"> and of the Court of </w:t>
      </w:r>
      <w:r w:rsidR="00081934">
        <w:lastRenderedPageBreak/>
        <w:t>Appeal</w:t>
      </w:r>
      <w:r w:rsidR="00BB6BA6">
        <w:t xml:space="preserve"> in this case [2018] EWCA </w:t>
      </w:r>
      <w:proofErr w:type="spellStart"/>
      <w:r w:rsidR="00BB6BA6">
        <w:t>Civ</w:t>
      </w:r>
      <w:proofErr w:type="spellEnd"/>
      <w:r w:rsidR="00BB6BA6">
        <w:t xml:space="preserve"> 1881</w:t>
      </w:r>
      <w:r w:rsidR="000D336C">
        <w:t xml:space="preserve"> (</w:t>
      </w:r>
      <w:r w:rsidR="00FE4DBE">
        <w:t>“</w:t>
      </w:r>
      <w:r w:rsidR="00FE4DBE">
        <w:rPr>
          <w:i/>
        </w:rPr>
        <w:t>Concordia</w:t>
      </w:r>
      <w:r w:rsidR="00FE4DBE">
        <w:t>”)</w:t>
      </w:r>
      <w:r w:rsidR="00B87569">
        <w:rPr>
          <w:rStyle w:val="FootnoteReference"/>
        </w:rPr>
        <w:footnoteReference w:id="2"/>
      </w:r>
      <w:r w:rsidR="00BB6BA6">
        <w:t xml:space="preserve"> – that </w:t>
      </w:r>
      <w:r w:rsidR="00FE4DBE">
        <w:t xml:space="preserve">the court may, on the making of </w:t>
      </w:r>
      <w:r w:rsidR="009D157C">
        <w:t xml:space="preserve">an </w:t>
      </w:r>
      <w:r w:rsidR="009D157C">
        <w:rPr>
          <w:i/>
        </w:rPr>
        <w:t xml:space="preserve">ex </w:t>
      </w:r>
      <w:proofErr w:type="spellStart"/>
      <w:r w:rsidR="009D157C">
        <w:rPr>
          <w:i/>
        </w:rPr>
        <w:t>parte</w:t>
      </w:r>
      <w:proofErr w:type="spellEnd"/>
      <w:r w:rsidR="009D157C">
        <w:t xml:space="preserve"> application for a warrant, rely upon material which</w:t>
      </w:r>
      <w:r w:rsidR="009D157C" w:rsidRPr="009E144A">
        <w:t xml:space="preserve"> cannot be disclosed to the </w:t>
      </w:r>
      <w:r w:rsidR="009E144A" w:rsidRPr="009E144A">
        <w:t>subject of the warrant</w:t>
      </w:r>
      <w:r w:rsidR="00E04848">
        <w:t xml:space="preserve"> on the grounds of public interest immunity</w:t>
      </w:r>
      <w:r w:rsidR="00F84DDC">
        <w:t xml:space="preserve"> (“PII</w:t>
      </w:r>
      <w:r w:rsidR="003C3B6D">
        <w:t>” and “PII</w:t>
      </w:r>
      <w:r w:rsidR="00F84DDC">
        <w:t xml:space="preserve"> Material”)</w:t>
      </w:r>
      <w:r w:rsidR="009E144A" w:rsidRPr="009E144A">
        <w:t xml:space="preserve">: </w:t>
      </w:r>
      <w:proofErr w:type="spellStart"/>
      <w:r w:rsidR="009E144A" w:rsidRPr="009E144A">
        <w:rPr>
          <w:i/>
        </w:rPr>
        <w:t>Har</w:t>
      </w:r>
      <w:r w:rsidR="0081533C">
        <w:rPr>
          <w:i/>
        </w:rPr>
        <w:t>a</w:t>
      </w:r>
      <w:r w:rsidR="009E144A" w:rsidRPr="009E144A">
        <w:rPr>
          <w:i/>
        </w:rPr>
        <w:t>lambous</w:t>
      </w:r>
      <w:proofErr w:type="spellEnd"/>
      <w:r w:rsidR="009E144A" w:rsidRPr="009E144A">
        <w:rPr>
          <w:i/>
        </w:rPr>
        <w:t xml:space="preserve"> </w:t>
      </w:r>
      <w:r w:rsidR="009E144A" w:rsidRPr="009E144A">
        <w:t>at [27] and [37]</w:t>
      </w:r>
      <w:r w:rsidR="00414378">
        <w:t xml:space="preserve">; </w:t>
      </w:r>
      <w:r w:rsidR="00414378">
        <w:rPr>
          <w:i/>
        </w:rPr>
        <w:t xml:space="preserve">Concordia </w:t>
      </w:r>
      <w:r w:rsidR="00414378">
        <w:t>at [27].</w:t>
      </w:r>
    </w:p>
    <w:p w14:paraId="5DF33473" w14:textId="0BF3AD3B" w:rsidR="000D2FDE" w:rsidRDefault="0020508E" w:rsidP="000E5857">
      <w:pPr>
        <w:numPr>
          <w:ilvl w:val="0"/>
          <w:numId w:val="2"/>
        </w:numPr>
        <w:autoSpaceDE w:val="0"/>
        <w:spacing w:before="240" w:after="240"/>
        <w:jc w:val="both"/>
      </w:pPr>
      <w:r>
        <w:t xml:space="preserve">Where the </w:t>
      </w:r>
      <w:r w:rsidR="009E187E">
        <w:t>issue of a warrant is subsequently challenged,</w:t>
      </w:r>
      <w:r w:rsidR="00AD25D5">
        <w:t xml:space="preserve"> the court must operate a </w:t>
      </w:r>
      <w:r w:rsidR="00146476">
        <w:t>“</w:t>
      </w:r>
      <w:r w:rsidR="00616897">
        <w:t>closed material procedure</w:t>
      </w:r>
      <w:r w:rsidR="00E907AC">
        <w:t>”</w:t>
      </w:r>
      <w:r w:rsidR="000E5857">
        <w:t>,</w:t>
      </w:r>
      <w:r w:rsidR="00616897">
        <w:t xml:space="preserve"> whereby </w:t>
      </w:r>
      <w:r w:rsidR="00E04848">
        <w:t xml:space="preserve">the court considers </w:t>
      </w:r>
      <w:r w:rsidR="00F84DDC">
        <w:t>the PII Material</w:t>
      </w:r>
      <w:r w:rsidR="00DE240F">
        <w:t xml:space="preserve">, which is not, however, disclosed to the </w:t>
      </w:r>
      <w:r w:rsidR="000D2FDE">
        <w:t>subject of the warrant</w:t>
      </w:r>
      <w:r w:rsidR="002D4496">
        <w:t xml:space="preserve"> (or </w:t>
      </w:r>
      <w:r w:rsidR="007D3BF8">
        <w:t xml:space="preserve">to </w:t>
      </w:r>
      <w:r w:rsidR="002D4496">
        <w:t>the subject’s leg</w:t>
      </w:r>
      <w:r w:rsidR="00A9176B">
        <w:t>al representatives)</w:t>
      </w:r>
      <w:r w:rsidR="000D2FDE">
        <w:t xml:space="preserve">: </w:t>
      </w:r>
      <w:proofErr w:type="spellStart"/>
      <w:r w:rsidR="000D2FDE">
        <w:rPr>
          <w:i/>
        </w:rPr>
        <w:t>Har</w:t>
      </w:r>
      <w:r w:rsidR="0081533C">
        <w:rPr>
          <w:i/>
        </w:rPr>
        <w:t>a</w:t>
      </w:r>
      <w:r w:rsidR="000D2FDE">
        <w:rPr>
          <w:i/>
        </w:rPr>
        <w:t>lambous</w:t>
      </w:r>
      <w:proofErr w:type="spellEnd"/>
      <w:r w:rsidR="000D2FDE">
        <w:rPr>
          <w:i/>
        </w:rPr>
        <w:t xml:space="preserve"> </w:t>
      </w:r>
      <w:r w:rsidR="000D2FDE">
        <w:t xml:space="preserve">at </w:t>
      </w:r>
      <w:r w:rsidR="00FA369E">
        <w:t xml:space="preserve">[43], [51], [52] and [59]; </w:t>
      </w:r>
      <w:r w:rsidR="00FA369E">
        <w:rPr>
          <w:i/>
        </w:rPr>
        <w:t xml:space="preserve">Concordia </w:t>
      </w:r>
      <w:r w:rsidR="00FA369E">
        <w:t>at [27].</w:t>
      </w:r>
      <w:r w:rsidR="000E5857">
        <w:t xml:space="preserve"> </w:t>
      </w:r>
      <w:r w:rsidR="00A06042">
        <w:t>Neither the subject of the warrant, nor the subject’s representatives, will be present during the “closed material procedure”.</w:t>
      </w:r>
      <w:r w:rsidR="005A1611">
        <w:rPr>
          <w:rStyle w:val="FootnoteReference"/>
        </w:rPr>
        <w:footnoteReference w:id="3"/>
      </w:r>
    </w:p>
    <w:p w14:paraId="0605F3C1" w14:textId="4F3030EC" w:rsidR="007C028C" w:rsidRDefault="00BB27BD" w:rsidP="00A06042">
      <w:pPr>
        <w:numPr>
          <w:ilvl w:val="0"/>
          <w:numId w:val="2"/>
        </w:numPr>
        <w:autoSpaceDE w:val="0"/>
        <w:spacing w:before="240" w:after="240"/>
        <w:jc w:val="both"/>
      </w:pPr>
      <w:r>
        <w:t xml:space="preserve">Of course, it will be necessary, </w:t>
      </w:r>
      <w:r w:rsidRPr="00BB27BD">
        <w:rPr>
          <w:u w:val="single"/>
        </w:rPr>
        <w:t>before</w:t>
      </w:r>
      <w:r>
        <w:t xml:space="preserve"> the challenge to the warrant is heard, to determine the </w:t>
      </w:r>
      <w:r w:rsidR="0056700A">
        <w:t xml:space="preserve">proper </w:t>
      </w:r>
      <w:r>
        <w:t xml:space="preserve">scope of </w:t>
      </w:r>
      <w:r w:rsidR="0056700A">
        <w:t xml:space="preserve">the PII asserted by the CMA. </w:t>
      </w:r>
      <w:r w:rsidR="007C028C">
        <w:t xml:space="preserve">The appropriate time </w:t>
      </w:r>
      <w:r w:rsidR="003C3B6D">
        <w:t xml:space="preserve">for the court to form a definite view </w:t>
      </w:r>
      <w:r w:rsidR="000D00E5">
        <w:t xml:space="preserve">as to what is protected by PII is upon an application </w:t>
      </w:r>
      <w:r w:rsidR="00EE65E8">
        <w:t xml:space="preserve">having been made by the subject of a warrant for the warrant in question to be varied or </w:t>
      </w:r>
      <w:r w:rsidR="00D52865">
        <w:t xml:space="preserve">discharged: </w:t>
      </w:r>
      <w:r w:rsidR="00D52865" w:rsidRPr="0056700A">
        <w:rPr>
          <w:i/>
        </w:rPr>
        <w:t>Concordia</w:t>
      </w:r>
      <w:r w:rsidR="00D52865">
        <w:t xml:space="preserve"> at [31].</w:t>
      </w:r>
      <w:r w:rsidR="00335316">
        <w:t xml:space="preserve"> As a matter of practicality, the appropriate time will </w:t>
      </w:r>
      <w:r w:rsidR="00975E58">
        <w:t xml:space="preserve">have to </w:t>
      </w:r>
      <w:r w:rsidR="00335316">
        <w:t xml:space="preserve">be sufficiently before the </w:t>
      </w:r>
      <w:r w:rsidR="00E26518">
        <w:t xml:space="preserve">hearing of the </w:t>
      </w:r>
      <w:r w:rsidR="00335316">
        <w:t xml:space="preserve">application to </w:t>
      </w:r>
      <w:r w:rsidR="00C45474">
        <w:t xml:space="preserve">challenge the warrant </w:t>
      </w:r>
      <w:r w:rsidR="00E26518">
        <w:t xml:space="preserve">so as </w:t>
      </w:r>
      <w:r w:rsidR="00C45474">
        <w:t>to enable both parties</w:t>
      </w:r>
      <w:r w:rsidR="00C20119">
        <w:t xml:space="preserve"> to</w:t>
      </w:r>
      <w:r w:rsidR="00C45474">
        <w:t xml:space="preserve"> prepare </w:t>
      </w:r>
      <w:r w:rsidR="00BF4270" w:rsidRPr="00E26518">
        <w:t>knowing</w:t>
      </w:r>
      <w:r w:rsidR="00BF4270">
        <w:t xml:space="preserve"> what material will be available in the “open” </w:t>
      </w:r>
      <w:r w:rsidR="00E26518">
        <w:t xml:space="preserve">part of the </w:t>
      </w:r>
      <w:r w:rsidR="00BF4270">
        <w:t xml:space="preserve">proceedings and what material will be </w:t>
      </w:r>
      <w:r w:rsidR="00952F44">
        <w:t xml:space="preserve">available only in </w:t>
      </w:r>
      <w:r w:rsidR="009F5078">
        <w:t xml:space="preserve">the </w:t>
      </w:r>
      <w:r w:rsidR="00952F44">
        <w:t xml:space="preserve">“closed” </w:t>
      </w:r>
      <w:r w:rsidR="00E26518">
        <w:t xml:space="preserve">part of the </w:t>
      </w:r>
      <w:r w:rsidR="00952F44">
        <w:t>proceedings</w:t>
      </w:r>
      <w:r w:rsidR="00E277C0">
        <w:t>.</w:t>
      </w:r>
    </w:p>
    <w:p w14:paraId="52419B99" w14:textId="62BD1D9E" w:rsidR="00D52865" w:rsidRDefault="006D41C8" w:rsidP="00B6674A">
      <w:pPr>
        <w:numPr>
          <w:ilvl w:val="0"/>
          <w:numId w:val="2"/>
        </w:numPr>
        <w:autoSpaceDE w:val="0"/>
        <w:spacing w:before="240" w:after="240"/>
        <w:jc w:val="both"/>
      </w:pPr>
      <w:r>
        <w:t>As to the process that must be followed when consider</w:t>
      </w:r>
      <w:r w:rsidR="00E277C0">
        <w:t>ing</w:t>
      </w:r>
      <w:r>
        <w:t xml:space="preserve"> whether </w:t>
      </w:r>
      <w:r w:rsidR="004F65E2">
        <w:t>material is protected by PII:</w:t>
      </w:r>
    </w:p>
    <w:p w14:paraId="2A93F676" w14:textId="474E6240" w:rsidR="00A861C1" w:rsidRDefault="007715C1" w:rsidP="00B6674A">
      <w:pPr>
        <w:numPr>
          <w:ilvl w:val="1"/>
          <w:numId w:val="2"/>
        </w:numPr>
        <w:autoSpaceDE w:val="0"/>
        <w:spacing w:before="240" w:after="240"/>
        <w:jc w:val="both"/>
      </w:pPr>
      <w:r>
        <w:t>The general rule is that</w:t>
      </w:r>
      <w:r w:rsidR="005C0500">
        <w:t xml:space="preserve"> the court should consider first</w:t>
      </w:r>
      <w:r w:rsidR="009C38B1">
        <w:t xml:space="preserve"> representations by the party asserting PII</w:t>
      </w:r>
      <w:r w:rsidR="00C62119">
        <w:t xml:space="preserve"> (in this case, the CMA), then by the party the subject of the warrant (Concordia)</w:t>
      </w:r>
      <w:r w:rsidR="00DE1FB0">
        <w:t xml:space="preserve"> in “open” proceedings, then further representations </w:t>
      </w:r>
      <w:r w:rsidR="00A861C1">
        <w:t>by the party asserting PII in the subject’s absence</w:t>
      </w:r>
      <w:r w:rsidR="00E907AC">
        <w:t xml:space="preserve"> in “closed” proceedings</w:t>
      </w:r>
      <w:r w:rsidR="00A861C1">
        <w:t>:</w:t>
      </w:r>
      <w:r w:rsidR="003D670C">
        <w:t xml:space="preserve"> </w:t>
      </w:r>
      <w:r w:rsidR="003D670C">
        <w:rPr>
          <w:i/>
        </w:rPr>
        <w:t xml:space="preserve">Commissioner </w:t>
      </w:r>
      <w:r w:rsidR="002653EB">
        <w:rPr>
          <w:i/>
        </w:rPr>
        <w:t xml:space="preserve">of Police for the Metropolis v. Bangs </w:t>
      </w:r>
      <w:r w:rsidR="002653EB">
        <w:t>[2014] EWHC 546 (Admin) (“</w:t>
      </w:r>
      <w:r w:rsidR="002653EB">
        <w:rPr>
          <w:i/>
        </w:rPr>
        <w:t>Bangs</w:t>
      </w:r>
      <w:r w:rsidR="002653EB">
        <w:t xml:space="preserve">”) at </w:t>
      </w:r>
      <w:r w:rsidR="005F5AFC">
        <w:t>[31].</w:t>
      </w:r>
    </w:p>
    <w:p w14:paraId="44AC65B1" w14:textId="110D69FF" w:rsidR="004F65E2" w:rsidRDefault="005F5AFC" w:rsidP="00B6674A">
      <w:pPr>
        <w:numPr>
          <w:ilvl w:val="1"/>
          <w:numId w:val="2"/>
        </w:numPr>
        <w:autoSpaceDE w:val="0"/>
        <w:spacing w:before="240" w:after="240"/>
        <w:jc w:val="both"/>
      </w:pPr>
      <w:r>
        <w:t xml:space="preserve">So far as possible, purely legal matters </w:t>
      </w:r>
      <w:r w:rsidR="00146476">
        <w:t>should be resolved in the “open</w:t>
      </w:r>
      <w:r w:rsidR="00E907AC">
        <w:t>”</w:t>
      </w:r>
      <w:r w:rsidR="00B379E4">
        <w:t xml:space="preserve"> proceedings: </w:t>
      </w:r>
      <w:r w:rsidR="00B379E4">
        <w:rPr>
          <w:i/>
        </w:rPr>
        <w:t>Bangs</w:t>
      </w:r>
      <w:r w:rsidR="00B379E4">
        <w:t xml:space="preserve"> at [32].</w:t>
      </w:r>
    </w:p>
    <w:p w14:paraId="1633624E" w14:textId="3834CAB9" w:rsidR="006458D9" w:rsidRDefault="001852E3" w:rsidP="00A751EF">
      <w:pPr>
        <w:numPr>
          <w:ilvl w:val="1"/>
          <w:numId w:val="2"/>
        </w:numPr>
        <w:autoSpaceDE w:val="0"/>
        <w:spacing w:before="240" w:after="240"/>
        <w:jc w:val="both"/>
      </w:pPr>
      <w:r>
        <w:t xml:space="preserve">Where </w:t>
      </w:r>
      <w:r w:rsidR="00AB5442">
        <w:t xml:space="preserve">it is necessary to hold “open” and “closed” hearings, the judge must give “open” and “closed” </w:t>
      </w:r>
      <w:r w:rsidR="00B646F4">
        <w:t>judgments. It is highly desirable</w:t>
      </w:r>
      <w:r w:rsidR="00A774F2">
        <w:t>, in the “open” judgment</w:t>
      </w:r>
      <w:r w:rsidR="00D76D44">
        <w:t xml:space="preserve">, to identify every conclusion in that judgment which has been reached in whole or in part in the light </w:t>
      </w:r>
      <w:r w:rsidR="005F2FAD">
        <w:t>of points made in evidence referred to in the “closed” judgment and state that this is what has been done</w:t>
      </w:r>
      <w:r w:rsidR="00B916FB">
        <w:t xml:space="preserve">: </w:t>
      </w:r>
      <w:r w:rsidR="0003147D">
        <w:rPr>
          <w:i/>
        </w:rPr>
        <w:t xml:space="preserve">Bank </w:t>
      </w:r>
      <w:proofErr w:type="spellStart"/>
      <w:r w:rsidR="0003147D">
        <w:rPr>
          <w:i/>
        </w:rPr>
        <w:t>Mellat</w:t>
      </w:r>
      <w:proofErr w:type="spellEnd"/>
      <w:r w:rsidR="005C3827">
        <w:rPr>
          <w:i/>
        </w:rPr>
        <w:t xml:space="preserve"> v. HM Treasury (No 2) </w:t>
      </w:r>
      <w:r w:rsidR="005C3827">
        <w:t>[2013] UKSC 38 at [68]</w:t>
      </w:r>
      <w:r w:rsidR="00A751EF">
        <w:t>.</w:t>
      </w:r>
    </w:p>
    <w:p w14:paraId="74ED2282" w14:textId="5BAB4561" w:rsidR="00D671AD" w:rsidRDefault="008D0A95" w:rsidP="00A751EF">
      <w:pPr>
        <w:numPr>
          <w:ilvl w:val="0"/>
          <w:numId w:val="2"/>
        </w:numPr>
        <w:autoSpaceDE w:val="0"/>
        <w:spacing w:before="240" w:after="240"/>
        <w:jc w:val="both"/>
      </w:pPr>
      <w:r>
        <w:t xml:space="preserve">The hearing before me </w:t>
      </w:r>
      <w:r w:rsidR="00C2768E">
        <w:t>on 5 December 2018 was conducted according to th</w:t>
      </w:r>
      <w:r w:rsidR="002F5D04">
        <w:t>is</w:t>
      </w:r>
      <w:r w:rsidR="00C2768E">
        <w:t xml:space="preserve"> process. </w:t>
      </w:r>
      <w:r w:rsidR="004749B1">
        <w:t xml:space="preserve">This is the “open” judgment, which resolves those matters </w:t>
      </w:r>
      <w:r w:rsidR="005B5A2D">
        <w:t>capable of being dealt with without referring to the “closed” material</w:t>
      </w:r>
      <w:r w:rsidR="002F5D04">
        <w:t xml:space="preserve"> (the “Open Judgment”)</w:t>
      </w:r>
      <w:r w:rsidR="005B5A2D">
        <w:t xml:space="preserve">. There is a separate, </w:t>
      </w:r>
      <w:r w:rsidR="005B5A2D">
        <w:lastRenderedPageBreak/>
        <w:t>“closed” judgment (the “Closed Judgment”</w:t>
      </w:r>
      <w:r w:rsidR="00FE33DC">
        <w:t xml:space="preserve"> [2018]</w:t>
      </w:r>
      <w:r w:rsidR="00180ABA">
        <w:t xml:space="preserve"> EWHC 3450 (Ch)</w:t>
      </w:r>
      <w:r w:rsidR="005B5A2D">
        <w:t xml:space="preserve">) which deals with </w:t>
      </w:r>
      <w:r w:rsidR="005F01A0">
        <w:t>matters arising during the “closed</w:t>
      </w:r>
      <w:r w:rsidR="009F5078">
        <w:t xml:space="preserve">” part of the PII application </w:t>
      </w:r>
      <w:r w:rsidR="005F01A0">
        <w:t xml:space="preserve">I </w:t>
      </w:r>
      <w:r w:rsidR="009F5078">
        <w:t>heard</w:t>
      </w:r>
      <w:r w:rsidR="005F01A0">
        <w:t>.</w:t>
      </w:r>
      <w:r w:rsidR="00EE0ED0">
        <w:t xml:space="preserve"> This judgment identifies those conclusions which are based upon t</w:t>
      </w:r>
      <w:r w:rsidR="00996F8B">
        <w:t>he findings and holdings I make in the Closed Judgment.</w:t>
      </w:r>
    </w:p>
    <w:p w14:paraId="04D4E18A" w14:textId="6C1DAC42" w:rsidR="00D671AD" w:rsidRPr="00D671AD" w:rsidRDefault="00D671AD" w:rsidP="00D566D7">
      <w:pPr>
        <w:keepNext/>
        <w:tabs>
          <w:tab w:val="left" w:pos="567"/>
        </w:tabs>
        <w:autoSpaceDE w:val="0"/>
        <w:spacing w:before="240" w:after="240"/>
        <w:jc w:val="both"/>
        <w:rPr>
          <w:b/>
        </w:rPr>
      </w:pPr>
      <w:r>
        <w:rPr>
          <w:b/>
        </w:rPr>
        <w:t>C.</w:t>
      </w:r>
      <w:r>
        <w:rPr>
          <w:b/>
        </w:rPr>
        <w:tab/>
      </w:r>
      <w:r w:rsidR="001D75D7">
        <w:rPr>
          <w:b/>
        </w:rPr>
        <w:t xml:space="preserve">THE </w:t>
      </w:r>
      <w:r w:rsidR="00166879">
        <w:rPr>
          <w:b/>
        </w:rPr>
        <w:t xml:space="preserve">CMA’S ASSERTION OF </w:t>
      </w:r>
      <w:r>
        <w:rPr>
          <w:b/>
        </w:rPr>
        <w:t>PUBLIC INTEREST IMMUNITY</w:t>
      </w:r>
    </w:p>
    <w:p w14:paraId="71AF5E5E" w14:textId="1C7183F5" w:rsidR="003B3785" w:rsidRPr="003B3785" w:rsidRDefault="003B3785" w:rsidP="00D566D7">
      <w:pPr>
        <w:keepNext/>
        <w:tabs>
          <w:tab w:val="left" w:pos="567"/>
        </w:tabs>
        <w:autoSpaceDE w:val="0"/>
        <w:spacing w:before="240" w:after="240"/>
        <w:jc w:val="both"/>
        <w:rPr>
          <w:b/>
        </w:rPr>
      </w:pPr>
      <w:r>
        <w:rPr>
          <w:b/>
        </w:rPr>
        <w:t>(1)</w:t>
      </w:r>
      <w:r>
        <w:rPr>
          <w:b/>
        </w:rPr>
        <w:tab/>
        <w:t>The sensitive material</w:t>
      </w:r>
    </w:p>
    <w:p w14:paraId="34E5CEE3" w14:textId="13DF1EDA" w:rsidR="003F5FB7" w:rsidRDefault="00166879" w:rsidP="00A751EF">
      <w:pPr>
        <w:numPr>
          <w:ilvl w:val="0"/>
          <w:numId w:val="2"/>
        </w:numPr>
        <w:autoSpaceDE w:val="0"/>
        <w:spacing w:before="240" w:after="240"/>
        <w:jc w:val="both"/>
      </w:pPr>
      <w:r>
        <w:t xml:space="preserve">The material over which the CMA asserted public interest immunity </w:t>
      </w:r>
      <w:r w:rsidR="00066281">
        <w:t>comprised:</w:t>
      </w:r>
    </w:p>
    <w:p w14:paraId="4B819FC6" w14:textId="31FC1F8B" w:rsidR="00066281" w:rsidRDefault="00066281" w:rsidP="00066281">
      <w:pPr>
        <w:numPr>
          <w:ilvl w:val="1"/>
          <w:numId w:val="2"/>
        </w:numPr>
        <w:autoSpaceDE w:val="0"/>
        <w:spacing w:before="240" w:after="240"/>
        <w:jc w:val="both"/>
      </w:pPr>
      <w:r>
        <w:t>The first affidavit of Ms</w:t>
      </w:r>
      <w:r w:rsidR="005817D5">
        <w:t xml:space="preserve"> Ann Pope, the </w:t>
      </w:r>
      <w:r w:rsidR="00280FBC">
        <w:t>S</w:t>
      </w:r>
      <w:r w:rsidR="005817D5">
        <w:t xml:space="preserve">enior </w:t>
      </w:r>
      <w:r w:rsidR="00280FBC">
        <w:t>D</w:t>
      </w:r>
      <w:r w:rsidR="005817D5">
        <w:t xml:space="preserve">irector for </w:t>
      </w:r>
      <w:r w:rsidR="0093752C">
        <w:t>A</w:t>
      </w:r>
      <w:r w:rsidR="005817D5">
        <w:t>nti-</w:t>
      </w:r>
      <w:r w:rsidR="00723668">
        <w:t>T</w:t>
      </w:r>
      <w:r w:rsidR="005817D5">
        <w:t xml:space="preserve">rust </w:t>
      </w:r>
      <w:r w:rsidR="00723668">
        <w:t>E</w:t>
      </w:r>
      <w:r w:rsidR="005817D5">
        <w:t>nforcement in the CMA</w:t>
      </w:r>
      <w:r w:rsidR="0058791A">
        <w:t>, sworn on 29 September 2017</w:t>
      </w:r>
      <w:r w:rsidR="001F4E76">
        <w:t xml:space="preserve"> (“Pope 1”)</w:t>
      </w:r>
      <w:r w:rsidR="005817D5">
        <w:t>.</w:t>
      </w:r>
      <w:r w:rsidR="00732249">
        <w:t xml:space="preserve"> Pope 1 </w:t>
      </w:r>
      <w:r w:rsidR="00D411F0">
        <w:t>attached one exhibit (“Pope 1 Exhibit”).</w:t>
      </w:r>
    </w:p>
    <w:p w14:paraId="1A8AC577" w14:textId="648EF2C2" w:rsidR="005817D5" w:rsidRDefault="001F4E76" w:rsidP="00066281">
      <w:pPr>
        <w:numPr>
          <w:ilvl w:val="1"/>
          <w:numId w:val="2"/>
        </w:numPr>
        <w:autoSpaceDE w:val="0"/>
        <w:spacing w:before="240" w:after="240"/>
        <w:jc w:val="both"/>
      </w:pPr>
      <w:r>
        <w:t>The first affidavit of Mr Andrew Groves</w:t>
      </w:r>
      <w:r w:rsidR="00280FBC">
        <w:t>,</w:t>
      </w:r>
      <w:r>
        <w:t xml:space="preserve"> </w:t>
      </w:r>
      <w:r w:rsidR="003B3785">
        <w:t>a Director in the Competition</w:t>
      </w:r>
      <w:r w:rsidR="00106444">
        <w:t xml:space="preserve">, Consumer and Markets Group in the Enforcement Directorate </w:t>
      </w:r>
      <w:r w:rsidR="00F62261">
        <w:t xml:space="preserve">of the CMA, sworn 29 September 2017 </w:t>
      </w:r>
      <w:r>
        <w:t>(“</w:t>
      </w:r>
      <w:r w:rsidR="0058791A">
        <w:t>Groves 1”)</w:t>
      </w:r>
      <w:r w:rsidR="00F62261">
        <w:t>.</w:t>
      </w:r>
      <w:r w:rsidR="00D10F2D">
        <w:t xml:space="preserve"> Groves 1 attached one exhibit (“Groves 1 Exhibit”).</w:t>
      </w:r>
    </w:p>
    <w:p w14:paraId="5AA42F78" w14:textId="783B00D0" w:rsidR="00F62261" w:rsidRDefault="00F62261" w:rsidP="00066281">
      <w:pPr>
        <w:numPr>
          <w:ilvl w:val="1"/>
          <w:numId w:val="2"/>
        </w:numPr>
        <w:autoSpaceDE w:val="0"/>
        <w:spacing w:before="240" w:after="240"/>
        <w:jc w:val="both"/>
      </w:pPr>
      <w:r>
        <w:t xml:space="preserve">The first affidavit of </w:t>
      </w:r>
      <w:r w:rsidR="00E0145B">
        <w:t xml:space="preserve">Ms </w:t>
      </w:r>
      <w:r>
        <w:t>Susan Oxley</w:t>
      </w:r>
      <w:r w:rsidR="00DB0C9A">
        <w:t xml:space="preserve">, Project Director, Competition, Consumer and Markets Group at the CMA, sworn 29 September </w:t>
      </w:r>
      <w:r w:rsidR="00944D4F">
        <w:t>2017 (“Oxley 1”).</w:t>
      </w:r>
      <w:r w:rsidR="00F8559B">
        <w:t xml:space="preserve"> Oxley 1 attached one exhibit (“Oxley 1</w:t>
      </w:r>
      <w:r w:rsidR="00324EDB">
        <w:t xml:space="preserve"> Exhibit</w:t>
      </w:r>
      <w:r w:rsidR="00F8559B">
        <w:t>”).</w:t>
      </w:r>
    </w:p>
    <w:p w14:paraId="1991AEC3" w14:textId="78C6D326" w:rsidR="004270BE" w:rsidRDefault="004270BE" w:rsidP="00066281">
      <w:pPr>
        <w:numPr>
          <w:ilvl w:val="1"/>
          <w:numId w:val="2"/>
        </w:numPr>
        <w:autoSpaceDE w:val="0"/>
        <w:spacing w:before="240" w:after="240"/>
        <w:jc w:val="both"/>
      </w:pPr>
      <w:r>
        <w:t>The first affidavit of “X” (</w:t>
      </w:r>
      <w:r w:rsidR="006913E8">
        <w:t xml:space="preserve">the name of </w:t>
      </w:r>
      <w:r w:rsidR="00016D17">
        <w:t xml:space="preserve">the deponent </w:t>
      </w:r>
      <w:r w:rsidR="006913E8">
        <w:t xml:space="preserve">is redacted on grounds of </w:t>
      </w:r>
      <w:r w:rsidR="00324EDB">
        <w:t>PII</w:t>
      </w:r>
      <w:r w:rsidR="006913E8">
        <w:t>)</w:t>
      </w:r>
      <w:r w:rsidR="00C30F5C">
        <w:t>, sworn 29 September 2017 (“X 1”).</w:t>
      </w:r>
      <w:r w:rsidR="00F21944">
        <w:t xml:space="preserve"> X 1 attached one exhibit (“X 1 Exhibit”).</w:t>
      </w:r>
    </w:p>
    <w:p w14:paraId="2E01D328" w14:textId="08A16DAD" w:rsidR="00F21944" w:rsidRDefault="009417F3" w:rsidP="00066281">
      <w:pPr>
        <w:numPr>
          <w:ilvl w:val="1"/>
          <w:numId w:val="2"/>
        </w:numPr>
        <w:autoSpaceDE w:val="0"/>
        <w:spacing w:before="240" w:after="240"/>
        <w:jc w:val="both"/>
      </w:pPr>
      <w:r>
        <w:t>The CMA’s skeleton argument in support of its application for the Warrant before Mann J (the “CMA Skeleton”).</w:t>
      </w:r>
    </w:p>
    <w:p w14:paraId="33F92E03" w14:textId="3A51CF71" w:rsidR="009417F3" w:rsidRDefault="00AB7E9A" w:rsidP="00066281">
      <w:pPr>
        <w:numPr>
          <w:ilvl w:val="1"/>
          <w:numId w:val="2"/>
        </w:numPr>
        <w:autoSpaceDE w:val="0"/>
        <w:spacing w:before="240" w:after="240"/>
        <w:jc w:val="both"/>
      </w:pPr>
      <w:r>
        <w:t xml:space="preserve">A transcript of the </w:t>
      </w:r>
      <w:r>
        <w:rPr>
          <w:i/>
        </w:rPr>
        <w:t xml:space="preserve">ex </w:t>
      </w:r>
      <w:proofErr w:type="spellStart"/>
      <w:r>
        <w:rPr>
          <w:i/>
        </w:rPr>
        <w:t>parte</w:t>
      </w:r>
      <w:proofErr w:type="spellEnd"/>
      <w:r>
        <w:t xml:space="preserve"> hearing before Mann J on 5 October 201</w:t>
      </w:r>
      <w:r w:rsidR="00380676">
        <w:t>7</w:t>
      </w:r>
      <w:r>
        <w:t xml:space="preserve"> (the “Transcript”).</w:t>
      </w:r>
    </w:p>
    <w:p w14:paraId="0AA3B813" w14:textId="0AED38CB" w:rsidR="00AB7E9A" w:rsidRDefault="00462C97" w:rsidP="00066281">
      <w:pPr>
        <w:numPr>
          <w:ilvl w:val="1"/>
          <w:numId w:val="2"/>
        </w:numPr>
        <w:autoSpaceDE w:val="0"/>
        <w:spacing w:before="240" w:after="240"/>
        <w:jc w:val="both"/>
      </w:pPr>
      <w:r>
        <w:t xml:space="preserve">The judgment of Mann J </w:t>
      </w:r>
      <w:r w:rsidR="00AD6049">
        <w:t>– Neutral Citation [2017] EWHC 2577 (Ch) – in which he determined the CMA’s application.</w:t>
      </w:r>
    </w:p>
    <w:p w14:paraId="30303FEA" w14:textId="32D96BB8" w:rsidR="000A5FA0" w:rsidRDefault="000A5FA0" w:rsidP="00A751EF">
      <w:pPr>
        <w:numPr>
          <w:ilvl w:val="0"/>
          <w:numId w:val="2"/>
        </w:numPr>
        <w:autoSpaceDE w:val="0"/>
        <w:spacing w:before="240" w:after="240"/>
        <w:jc w:val="both"/>
      </w:pPr>
      <w:r>
        <w:t xml:space="preserve">I shall refer to these </w:t>
      </w:r>
      <w:r w:rsidR="00970F5C">
        <w:t xml:space="preserve">materials as the “Section 28 Application Materials”, for they all relate to the application under section 28 </w:t>
      </w:r>
      <w:r w:rsidR="00366859">
        <w:t>of the Competition Act 1998</w:t>
      </w:r>
      <w:r w:rsidR="000B077F">
        <w:t xml:space="preserve"> made before Mann J</w:t>
      </w:r>
      <w:r w:rsidR="00366859">
        <w:t xml:space="preserve">. The Section 28 Application Materials will – self-evidently – be of </w:t>
      </w:r>
      <w:r w:rsidR="00686C15">
        <w:t>great importance in Concordia’s application to vary the Warrant.</w:t>
      </w:r>
    </w:p>
    <w:p w14:paraId="18776CC5" w14:textId="66750423" w:rsidR="00773333" w:rsidRDefault="00A95E1B" w:rsidP="00A751EF">
      <w:pPr>
        <w:numPr>
          <w:ilvl w:val="0"/>
          <w:numId w:val="2"/>
        </w:numPr>
        <w:autoSpaceDE w:val="0"/>
        <w:spacing w:before="240" w:after="240"/>
        <w:jc w:val="both"/>
      </w:pPr>
      <w:r>
        <w:t xml:space="preserve">The CMA does not suggest that the entire content of the Section 28 Application Materials needs to be protected by PII. </w:t>
      </w:r>
      <w:r w:rsidR="00E07329">
        <w:t xml:space="preserve">Indeed, very early on in these proceedings, </w:t>
      </w:r>
      <w:r w:rsidR="00A77C94">
        <w:t>I ordered</w:t>
      </w:r>
      <w:r w:rsidR="00177745">
        <w:rPr>
          <w:rStyle w:val="FootnoteReference"/>
        </w:rPr>
        <w:footnoteReference w:id="4"/>
      </w:r>
      <w:r w:rsidR="00A77C94">
        <w:t xml:space="preserve"> the CMA to make disclosure of all </w:t>
      </w:r>
      <w:r w:rsidR="00864EEC">
        <w:t>of the Section 28 Application Materials, provisionally redacted:</w:t>
      </w:r>
    </w:p>
    <w:p w14:paraId="64A715DF" w14:textId="7F0696E9" w:rsidR="00864EEC" w:rsidRDefault="00864EEC" w:rsidP="00864EEC">
      <w:pPr>
        <w:numPr>
          <w:ilvl w:val="1"/>
          <w:numId w:val="2"/>
        </w:numPr>
        <w:autoSpaceDE w:val="0"/>
        <w:spacing w:before="240" w:after="240"/>
        <w:jc w:val="both"/>
      </w:pPr>
      <w:r>
        <w:t xml:space="preserve">As the CMA considered </w:t>
      </w:r>
      <w:r w:rsidR="000F13F2">
        <w:t>necessary in the public interest; and</w:t>
      </w:r>
    </w:p>
    <w:p w14:paraId="3AD856DD" w14:textId="0053AE22" w:rsidR="000F13F2" w:rsidRDefault="000F13F2" w:rsidP="00864EEC">
      <w:pPr>
        <w:numPr>
          <w:ilvl w:val="1"/>
          <w:numId w:val="2"/>
        </w:numPr>
        <w:autoSpaceDE w:val="0"/>
        <w:spacing w:before="240" w:after="240"/>
        <w:jc w:val="both"/>
      </w:pPr>
      <w:r>
        <w:lastRenderedPageBreak/>
        <w:t>For relevan</w:t>
      </w:r>
      <w:r w:rsidR="007330AD">
        <w:t>ce</w:t>
      </w:r>
      <w:r>
        <w:t>.</w:t>
      </w:r>
    </w:p>
    <w:p w14:paraId="1FD1CAF3" w14:textId="01BF5329" w:rsidR="000F13F2" w:rsidRDefault="000F13F2" w:rsidP="000F13F2">
      <w:pPr>
        <w:numPr>
          <w:ilvl w:val="0"/>
          <w:numId w:val="2"/>
        </w:numPr>
        <w:autoSpaceDE w:val="0"/>
        <w:spacing w:before="240" w:after="240"/>
        <w:jc w:val="both"/>
      </w:pPr>
      <w:r>
        <w:t xml:space="preserve">The redactions </w:t>
      </w:r>
      <w:r w:rsidR="005B600A">
        <w:t xml:space="preserve">to the Section 28 Application </w:t>
      </w:r>
      <w:r w:rsidR="001672C7">
        <w:t xml:space="preserve">Materials </w:t>
      </w:r>
      <w:r w:rsidR="007330AD">
        <w:t xml:space="preserve">make clear the reason for the redaction: redactions due to relevance </w:t>
      </w:r>
      <w:r w:rsidR="00BD7DEF">
        <w:t>are coloured yellow</w:t>
      </w:r>
      <w:r w:rsidR="00954056">
        <w:t xml:space="preserve"> (“Relevance Redactions”)</w:t>
      </w:r>
      <w:r w:rsidR="00BD7DEF">
        <w:t>; redactions due to the sensitivity of the material, and which would otherwise be relevant</w:t>
      </w:r>
      <w:r w:rsidR="005A2C4A">
        <w:t xml:space="preserve"> to Concordia’s application</w:t>
      </w:r>
      <w:r w:rsidR="00BD7DEF">
        <w:t>, are coloured green</w:t>
      </w:r>
      <w:r w:rsidR="00954056">
        <w:t xml:space="preserve"> (“PII Redactions”)</w:t>
      </w:r>
      <w:r w:rsidR="00BD7DEF">
        <w:t>.</w:t>
      </w:r>
      <w:r w:rsidR="00AF19BF">
        <w:t xml:space="preserve"> Since that initial disclosure, the CMA ha</w:t>
      </w:r>
      <w:r w:rsidR="00AB48AC">
        <w:t>s</w:t>
      </w:r>
      <w:r w:rsidR="00AF19BF">
        <w:t xml:space="preserve"> released </w:t>
      </w:r>
      <w:r w:rsidR="001672C7">
        <w:t xml:space="preserve">a </w:t>
      </w:r>
      <w:r w:rsidR="00AF19BF">
        <w:t>further version of the Section 28 Application Materials,</w:t>
      </w:r>
      <w:r w:rsidR="00003DE6">
        <w:t xml:space="preserve"> scaling back the extent of the redactions.</w:t>
      </w:r>
    </w:p>
    <w:p w14:paraId="4CC860EC" w14:textId="29E2E9A3" w:rsidR="0023588B" w:rsidRDefault="0023588B" w:rsidP="000F13F2">
      <w:pPr>
        <w:numPr>
          <w:ilvl w:val="0"/>
          <w:numId w:val="2"/>
        </w:numPr>
        <w:autoSpaceDE w:val="0"/>
        <w:spacing w:before="240" w:after="240"/>
        <w:jc w:val="both"/>
      </w:pPr>
      <w:r>
        <w:t xml:space="preserve">In this judgment, I am concerned </w:t>
      </w:r>
      <w:r w:rsidR="00F76E41">
        <w:t xml:space="preserve">to assess whether the </w:t>
      </w:r>
      <w:r w:rsidR="00F20C39">
        <w:t xml:space="preserve">non-disclosure of the </w:t>
      </w:r>
      <w:r w:rsidR="00F76E41">
        <w:t xml:space="preserve">PII Redactions can be justified </w:t>
      </w:r>
      <w:r w:rsidR="00F20C39">
        <w:t>–</w:t>
      </w:r>
      <w:r w:rsidR="00F76E41">
        <w:t xml:space="preserve"> </w:t>
      </w:r>
      <w:r w:rsidR="00F20C39">
        <w:t>as the CMA assert – on public interest grounds.</w:t>
      </w:r>
      <w:r w:rsidR="00256C2E">
        <w:t xml:space="preserve"> I am not concerned with the Relevance Redactions.</w:t>
      </w:r>
    </w:p>
    <w:p w14:paraId="6F257812" w14:textId="04C6C64E" w:rsidR="00863C3F" w:rsidRPr="002B2EEE" w:rsidRDefault="002B2EEE" w:rsidP="002B2EEE">
      <w:pPr>
        <w:keepNext/>
        <w:tabs>
          <w:tab w:val="left" w:pos="567"/>
        </w:tabs>
        <w:autoSpaceDE w:val="0"/>
        <w:spacing w:before="240" w:after="240"/>
        <w:jc w:val="both"/>
        <w:rPr>
          <w:b/>
        </w:rPr>
      </w:pPr>
      <w:r w:rsidRPr="002B2EEE">
        <w:rPr>
          <w:b/>
        </w:rPr>
        <w:t>(2)</w:t>
      </w:r>
      <w:r w:rsidRPr="002B2EEE">
        <w:rPr>
          <w:b/>
        </w:rPr>
        <w:tab/>
        <w:t>The basis for the assertion of PII by the CMA</w:t>
      </w:r>
    </w:p>
    <w:p w14:paraId="75DA80D5" w14:textId="5DF881BB" w:rsidR="007A49B8" w:rsidRDefault="004F1A51" w:rsidP="00A751EF">
      <w:pPr>
        <w:numPr>
          <w:ilvl w:val="0"/>
          <w:numId w:val="2"/>
        </w:numPr>
        <w:autoSpaceDE w:val="0"/>
        <w:spacing w:before="240" w:after="240"/>
        <w:jc w:val="both"/>
      </w:pPr>
      <w:r>
        <w:t xml:space="preserve">So far as possible, a party asserting PII must indicate to </w:t>
      </w:r>
      <w:r w:rsidR="00793E33">
        <w:t xml:space="preserve">the other parties that an application asserting PII is being made and </w:t>
      </w:r>
      <w:r w:rsidR="000E2F01">
        <w:t xml:space="preserve">state – without disclosing </w:t>
      </w:r>
      <w:r w:rsidR="00761DB6">
        <w:t xml:space="preserve">the </w:t>
      </w:r>
      <w:r w:rsidR="000E2F01">
        <w:t xml:space="preserve">material </w:t>
      </w:r>
      <w:r w:rsidR="00761DB6">
        <w:t>said to be sensitive</w:t>
      </w:r>
      <w:r w:rsidR="003B4C5C">
        <w:t xml:space="preserve"> – at least the category </w:t>
      </w:r>
      <w:r w:rsidR="00F67E18">
        <w:t xml:space="preserve">or nature of the sensitive material at issue. Exceptionally, </w:t>
      </w:r>
      <w:r w:rsidR="009A023C">
        <w:t>it may be that even disclosing the category or nature of the sensitive material</w:t>
      </w:r>
      <w:r w:rsidR="00895339">
        <w:t xml:space="preserve"> will reveal the very thing that the party asserting PII is seeking to protect</w:t>
      </w:r>
      <w:r w:rsidR="00E372CF">
        <w:t xml:space="preserve">, in which case </w:t>
      </w:r>
      <w:r w:rsidR="00996264">
        <w:t xml:space="preserve">the category </w:t>
      </w:r>
      <w:r w:rsidR="00B31D4C">
        <w:t xml:space="preserve">or nature of the sensitive material </w:t>
      </w:r>
      <w:r w:rsidR="00996264">
        <w:t xml:space="preserve">need not be specified unless and until the court has heard the </w:t>
      </w:r>
      <w:r w:rsidR="009949EC">
        <w:t>application in “closed” session</w:t>
      </w:r>
      <w:r w:rsidR="00895339">
        <w:t>.</w:t>
      </w:r>
      <w:r w:rsidR="00983FA0">
        <w:rPr>
          <w:rStyle w:val="FootnoteReference"/>
        </w:rPr>
        <w:footnoteReference w:id="5"/>
      </w:r>
    </w:p>
    <w:p w14:paraId="73AE46F7" w14:textId="79477B10" w:rsidR="00654C3B" w:rsidRDefault="007A49B8" w:rsidP="00A751EF">
      <w:pPr>
        <w:numPr>
          <w:ilvl w:val="0"/>
          <w:numId w:val="2"/>
        </w:numPr>
        <w:autoSpaceDE w:val="0"/>
        <w:spacing w:before="240" w:after="240"/>
        <w:jc w:val="both"/>
      </w:pPr>
      <w:r>
        <w:t>In this case</w:t>
      </w:r>
      <w:r w:rsidR="00E2062A">
        <w:t xml:space="preserve">, the CMA contended </w:t>
      </w:r>
      <w:r w:rsidR="00735C4F">
        <w:t xml:space="preserve">that </w:t>
      </w:r>
      <w:r w:rsidR="00E2062A">
        <w:t xml:space="preserve">this was </w:t>
      </w:r>
      <w:r w:rsidR="00940A57">
        <w:t xml:space="preserve">such </w:t>
      </w:r>
      <w:r w:rsidR="00E2062A">
        <w:t>an exceptional case</w:t>
      </w:r>
      <w:r w:rsidR="00735C4F">
        <w:t>,</w:t>
      </w:r>
      <w:r w:rsidR="00301679">
        <w:t xml:space="preserve"> where disclosure of even the </w:t>
      </w:r>
      <w:r w:rsidR="00301679">
        <w:rPr>
          <w:u w:val="single"/>
        </w:rPr>
        <w:t>category</w:t>
      </w:r>
      <w:r w:rsidR="00301679">
        <w:t xml:space="preserve"> or </w:t>
      </w:r>
      <w:r w:rsidR="00301679">
        <w:rPr>
          <w:u w:val="single"/>
        </w:rPr>
        <w:t>nature</w:t>
      </w:r>
      <w:r w:rsidR="00301679">
        <w:t xml:space="preserve"> of the sensitive material could not be </w:t>
      </w:r>
      <w:r w:rsidR="00940A57">
        <w:t>made</w:t>
      </w:r>
      <w:r w:rsidR="00735C4F">
        <w:t xml:space="preserve"> without </w:t>
      </w:r>
      <w:r w:rsidR="00462111">
        <w:t xml:space="preserve">thereby </w:t>
      </w:r>
      <w:r w:rsidR="00735C4F">
        <w:t xml:space="preserve">disclosing the </w:t>
      </w:r>
      <w:r w:rsidR="00654C3B">
        <w:t xml:space="preserve">very </w:t>
      </w:r>
      <w:r w:rsidR="00940A57">
        <w:t>thing</w:t>
      </w:r>
      <w:r w:rsidR="00654C3B">
        <w:t xml:space="preserve"> that the CMA was seeking to protect</w:t>
      </w:r>
      <w:r w:rsidR="00301679">
        <w:t>.</w:t>
      </w:r>
    </w:p>
    <w:p w14:paraId="30D5335C" w14:textId="40FF747C" w:rsidR="007F2572" w:rsidRDefault="00654C3B" w:rsidP="00A751EF">
      <w:pPr>
        <w:numPr>
          <w:ilvl w:val="0"/>
          <w:numId w:val="2"/>
        </w:numPr>
        <w:autoSpaceDE w:val="0"/>
        <w:spacing w:before="240" w:after="240"/>
        <w:jc w:val="both"/>
      </w:pPr>
      <w:r>
        <w:t xml:space="preserve">For the reasons given in </w:t>
      </w:r>
      <w:r w:rsidR="00B9737D">
        <w:t>Section C</w:t>
      </w:r>
      <w:r>
        <w:t xml:space="preserve"> of the Closed Judgment, I find that </w:t>
      </w:r>
      <w:r w:rsidR="00FA590D">
        <w:t xml:space="preserve">the CMA was correct in asserting that </w:t>
      </w:r>
      <w:r w:rsidR="007F2572">
        <w:t>even the category or nature of the sensitive material could not be disclosed.</w:t>
      </w:r>
    </w:p>
    <w:p w14:paraId="1424E05A" w14:textId="7BCB673D" w:rsidR="00642290" w:rsidRDefault="007F2572" w:rsidP="00A751EF">
      <w:pPr>
        <w:numPr>
          <w:ilvl w:val="0"/>
          <w:numId w:val="2"/>
        </w:numPr>
        <w:autoSpaceDE w:val="0"/>
        <w:spacing w:before="240" w:after="240"/>
        <w:jc w:val="both"/>
      </w:pPr>
      <w:r>
        <w:t xml:space="preserve">Inevitably, this significantly inhibited Concordia’s ability to test the CMA’s assertion of PII in this case. </w:t>
      </w:r>
      <w:r w:rsidR="00864CA1">
        <w:t xml:space="preserve">Mr Brealey, QC, who appeared for Concordia, was effectively shooting in the dark, and </w:t>
      </w:r>
      <w:r w:rsidR="00642290">
        <w:t>was really only able to articulate a series of points that I should pay particular attention to during the “closed” part of the hearing.</w:t>
      </w:r>
    </w:p>
    <w:p w14:paraId="45449522" w14:textId="6CBF76C8" w:rsidR="00BF4F6E" w:rsidRPr="00BF4F6E" w:rsidRDefault="00BF4F6E" w:rsidP="005A54AD">
      <w:pPr>
        <w:keepNext/>
        <w:tabs>
          <w:tab w:val="left" w:pos="567"/>
        </w:tabs>
        <w:autoSpaceDE w:val="0"/>
        <w:spacing w:before="240" w:after="240"/>
        <w:jc w:val="both"/>
        <w:rPr>
          <w:b/>
        </w:rPr>
      </w:pPr>
      <w:r>
        <w:rPr>
          <w:b/>
        </w:rPr>
        <w:t>(</w:t>
      </w:r>
      <w:r w:rsidR="009C14AB">
        <w:rPr>
          <w:b/>
        </w:rPr>
        <w:t>3)</w:t>
      </w:r>
      <w:r w:rsidR="009C14AB">
        <w:rPr>
          <w:b/>
        </w:rPr>
        <w:tab/>
        <w:t>The test for upholding an assertion of PII</w:t>
      </w:r>
    </w:p>
    <w:p w14:paraId="33E1D2DA" w14:textId="09C6BA04" w:rsidR="00CB4579" w:rsidRDefault="009C14AB" w:rsidP="00A751EF">
      <w:pPr>
        <w:numPr>
          <w:ilvl w:val="0"/>
          <w:numId w:val="2"/>
        </w:numPr>
        <w:autoSpaceDE w:val="0"/>
        <w:spacing w:before="240" w:after="240"/>
        <w:jc w:val="both"/>
      </w:pPr>
      <w:r>
        <w:t xml:space="preserve">In </w:t>
      </w:r>
      <w:r>
        <w:rPr>
          <w:i/>
        </w:rPr>
        <w:t xml:space="preserve">Conway v. Rimmer </w:t>
      </w:r>
      <w:r>
        <w:t xml:space="preserve">[1968] 1 AC 910 at 955, Lord Morris articulated </w:t>
      </w:r>
      <w:r w:rsidR="00CB4579">
        <w:t>the tension inherent in assertions of PII in the following passage</w:t>
      </w:r>
      <w:r w:rsidR="00D0327B">
        <w:t xml:space="preserve"> (emphasis supplied)</w:t>
      </w:r>
      <w:r w:rsidR="00CB4579">
        <w:t>:</w:t>
      </w:r>
    </w:p>
    <w:p w14:paraId="5F683589" w14:textId="78A0D860" w:rsidR="00CB4579" w:rsidRPr="00CB4579" w:rsidRDefault="00D62496" w:rsidP="00CB4579">
      <w:pPr>
        <w:autoSpaceDE w:val="0"/>
        <w:spacing w:before="240" w:after="240"/>
        <w:ind w:left="567"/>
        <w:jc w:val="both"/>
        <w:rPr>
          <w:sz w:val="22"/>
          <w:szCs w:val="22"/>
        </w:rPr>
      </w:pPr>
      <w:r>
        <w:rPr>
          <w:sz w:val="22"/>
          <w:szCs w:val="22"/>
        </w:rPr>
        <w:t>“</w:t>
      </w:r>
      <w:r w:rsidR="00323353">
        <w:rPr>
          <w:sz w:val="22"/>
          <w:szCs w:val="22"/>
        </w:rPr>
        <w:t xml:space="preserve">There are two aspects of the public interest which pull in contrary directions. It is in the public interest </w:t>
      </w:r>
      <w:r w:rsidR="00E467D1">
        <w:rPr>
          <w:sz w:val="22"/>
          <w:szCs w:val="22"/>
        </w:rPr>
        <w:t xml:space="preserve">that full effect should be given to the normal rights of a litigant. </w:t>
      </w:r>
      <w:r w:rsidR="00E467D1" w:rsidRPr="006A2E2D">
        <w:rPr>
          <w:sz w:val="22"/>
          <w:szCs w:val="22"/>
          <w:u w:val="single"/>
        </w:rPr>
        <w:t xml:space="preserve">It is in the public interest </w:t>
      </w:r>
      <w:r w:rsidR="006A2E2D" w:rsidRPr="006A2E2D">
        <w:rPr>
          <w:sz w:val="22"/>
          <w:szCs w:val="22"/>
          <w:u w:val="single"/>
        </w:rPr>
        <w:t>that in the determination of disputes the courts should have all relevant material before them.</w:t>
      </w:r>
      <w:r w:rsidR="006A2E2D">
        <w:rPr>
          <w:sz w:val="22"/>
          <w:szCs w:val="22"/>
        </w:rPr>
        <w:t xml:space="preserve"> </w:t>
      </w:r>
      <w:r w:rsidR="00D0327B">
        <w:rPr>
          <w:sz w:val="22"/>
          <w:szCs w:val="22"/>
        </w:rPr>
        <w:t>It is, on the other hand</w:t>
      </w:r>
      <w:r w:rsidR="000F23A8">
        <w:rPr>
          <w:sz w:val="22"/>
          <w:szCs w:val="22"/>
        </w:rPr>
        <w:t xml:space="preserve">, in the public interest that material should be withheld if, by its production and disclosure, the safety or well-being </w:t>
      </w:r>
      <w:r w:rsidR="00F86F83">
        <w:rPr>
          <w:sz w:val="22"/>
          <w:szCs w:val="22"/>
        </w:rPr>
        <w:t xml:space="preserve">of the community would be adversely affected. There will be situations in which a decision </w:t>
      </w:r>
      <w:r w:rsidR="00C0464C">
        <w:rPr>
          <w:sz w:val="22"/>
          <w:szCs w:val="22"/>
        </w:rPr>
        <w:t xml:space="preserve">ought to be made whether the harm that may result from the production of documents will be greater than the harm </w:t>
      </w:r>
      <w:r w:rsidR="00F26070">
        <w:rPr>
          <w:sz w:val="22"/>
          <w:szCs w:val="22"/>
        </w:rPr>
        <w:t>that may result from their non-production.”</w:t>
      </w:r>
    </w:p>
    <w:p w14:paraId="5510745F" w14:textId="77777777" w:rsidR="00AC405A" w:rsidRDefault="009F3BAF" w:rsidP="00A751EF">
      <w:pPr>
        <w:numPr>
          <w:ilvl w:val="0"/>
          <w:numId w:val="2"/>
        </w:numPr>
        <w:autoSpaceDE w:val="0"/>
        <w:spacing w:before="240" w:after="240"/>
        <w:jc w:val="both"/>
      </w:pPr>
      <w:r>
        <w:lastRenderedPageBreak/>
        <w:t>I have emphasised</w:t>
      </w:r>
      <w:r w:rsidR="003F5FB7">
        <w:t xml:space="preserve"> </w:t>
      </w:r>
      <w:r>
        <w:t xml:space="preserve">the second sentence in this passage for a reason. </w:t>
      </w:r>
      <w:r w:rsidR="00A77EB1">
        <w:t xml:space="preserve">Previously, the successful assertion of PII has meant that material otherwise relevant to </w:t>
      </w:r>
      <w:r w:rsidR="00366304">
        <w:t>a dispute is</w:t>
      </w:r>
      <w:r w:rsidR="00AC405A">
        <w:t>, on public interest grounds,</w:t>
      </w:r>
      <w:r w:rsidR="00366304">
        <w:t xml:space="preserve"> </w:t>
      </w:r>
      <w:r w:rsidR="00366304">
        <w:rPr>
          <w:u w:val="single"/>
        </w:rPr>
        <w:t>withheld</w:t>
      </w:r>
      <w:r w:rsidR="00366304">
        <w:t xml:space="preserve"> from </w:t>
      </w:r>
      <w:r w:rsidR="00366304" w:rsidRPr="00AC405A">
        <w:rPr>
          <w:u w:val="single"/>
        </w:rPr>
        <w:t>both</w:t>
      </w:r>
      <w:r w:rsidR="00366304">
        <w:t xml:space="preserve"> the other parties </w:t>
      </w:r>
      <w:r w:rsidR="00366304" w:rsidRPr="00AC405A">
        <w:rPr>
          <w:u w:val="single"/>
        </w:rPr>
        <w:t>and the court</w:t>
      </w:r>
      <w:r w:rsidR="00366304">
        <w:t xml:space="preserve">. </w:t>
      </w:r>
      <w:r w:rsidR="00AC405A">
        <w:t>In short, the material is simply not deployed.</w:t>
      </w:r>
    </w:p>
    <w:p w14:paraId="69F23394" w14:textId="0B10BDF4" w:rsidR="004C0E61" w:rsidRDefault="0014372E" w:rsidP="00A751EF">
      <w:pPr>
        <w:numPr>
          <w:ilvl w:val="0"/>
          <w:numId w:val="2"/>
        </w:numPr>
        <w:autoSpaceDE w:val="0"/>
        <w:spacing w:before="240" w:after="240"/>
        <w:jc w:val="both"/>
      </w:pPr>
      <w:r>
        <w:t xml:space="preserve">Since </w:t>
      </w:r>
      <w:proofErr w:type="spellStart"/>
      <w:r>
        <w:rPr>
          <w:i/>
        </w:rPr>
        <w:t>Har</w:t>
      </w:r>
      <w:r w:rsidR="0081533C">
        <w:rPr>
          <w:i/>
        </w:rPr>
        <w:t>a</w:t>
      </w:r>
      <w:r>
        <w:rPr>
          <w:i/>
        </w:rPr>
        <w:t>lambous</w:t>
      </w:r>
      <w:proofErr w:type="spellEnd"/>
      <w:r>
        <w:rPr>
          <w:i/>
        </w:rPr>
        <w:t xml:space="preserve"> </w:t>
      </w:r>
      <w:r>
        <w:t xml:space="preserve">and </w:t>
      </w:r>
      <w:r>
        <w:rPr>
          <w:i/>
        </w:rPr>
        <w:t xml:space="preserve">Concordia </w:t>
      </w:r>
      <w:r>
        <w:t xml:space="preserve">the position is very different. </w:t>
      </w:r>
      <w:r w:rsidR="0010302E">
        <w:t xml:space="preserve">The sensitive material </w:t>
      </w:r>
      <w:r w:rsidR="0010302E">
        <w:rPr>
          <w:u w:val="single"/>
        </w:rPr>
        <w:t>is</w:t>
      </w:r>
      <w:r w:rsidR="0010302E">
        <w:t xml:space="preserve"> deployed</w:t>
      </w:r>
      <w:r w:rsidR="001A45C7">
        <w:t xml:space="preserve"> and the court must take it into account, but without the benefit of informed submissions from </w:t>
      </w:r>
      <w:r w:rsidR="003C3515">
        <w:t xml:space="preserve">the party from whom the sensitive material is withheld. This is a very significant </w:t>
      </w:r>
      <w:r w:rsidR="004C0E61">
        <w:t>shift from the law as described by Lord Morris.</w:t>
      </w:r>
    </w:p>
    <w:p w14:paraId="5634CB69" w14:textId="4C72263E" w:rsidR="00A751EF" w:rsidRDefault="004C0E61" w:rsidP="00A751EF">
      <w:pPr>
        <w:numPr>
          <w:ilvl w:val="0"/>
          <w:numId w:val="2"/>
        </w:numPr>
        <w:autoSpaceDE w:val="0"/>
        <w:spacing w:before="240" w:after="240"/>
        <w:jc w:val="both"/>
      </w:pPr>
      <w:r>
        <w:t xml:space="preserve">In </w:t>
      </w:r>
      <w:r w:rsidR="007F16E6">
        <w:rPr>
          <w:i/>
        </w:rPr>
        <w:t xml:space="preserve">R v. Chief Constable of West Midlands Police, ex </w:t>
      </w:r>
      <w:proofErr w:type="spellStart"/>
      <w:r w:rsidR="007F16E6">
        <w:rPr>
          <w:i/>
        </w:rPr>
        <w:t>parte</w:t>
      </w:r>
      <w:proofErr w:type="spellEnd"/>
      <w:r w:rsidR="007F16E6">
        <w:rPr>
          <w:i/>
        </w:rPr>
        <w:t xml:space="preserve"> Wiley</w:t>
      </w:r>
      <w:r w:rsidR="007F16E6">
        <w:t xml:space="preserve">, </w:t>
      </w:r>
      <w:r w:rsidR="0014052C">
        <w:t>Lord Templeman identified (</w:t>
      </w:r>
      <w:r w:rsidR="0075240B">
        <w:t xml:space="preserve">[1995] 1 AC 274 </w:t>
      </w:r>
      <w:r w:rsidR="0014052C">
        <w:t xml:space="preserve">at 280-281) three distinct stages </w:t>
      </w:r>
      <w:r w:rsidR="00892172">
        <w:t>in the decision-making process</w:t>
      </w:r>
      <w:r w:rsidR="004C6F3A">
        <w:t xml:space="preserve"> in relation to assertions of PII:</w:t>
      </w:r>
    </w:p>
    <w:p w14:paraId="6C0E1EF3" w14:textId="716EAF1C" w:rsidR="004C6F3A" w:rsidRDefault="004C6F3A" w:rsidP="004C6F3A">
      <w:pPr>
        <w:numPr>
          <w:ilvl w:val="1"/>
          <w:numId w:val="2"/>
        </w:numPr>
        <w:autoSpaceDE w:val="0"/>
        <w:spacing w:before="240" w:after="240"/>
        <w:jc w:val="both"/>
      </w:pPr>
      <w:r>
        <w:t>Whether the evidence in relation to which PII is asserted is relevant to an issue in the proceedings.</w:t>
      </w:r>
    </w:p>
    <w:p w14:paraId="3E40C021" w14:textId="1734035E" w:rsidR="004C6F3A" w:rsidRDefault="004C6F3A" w:rsidP="004C6F3A">
      <w:pPr>
        <w:numPr>
          <w:ilvl w:val="1"/>
          <w:numId w:val="2"/>
        </w:numPr>
        <w:autoSpaceDE w:val="0"/>
        <w:spacing w:before="240" w:after="240"/>
        <w:jc w:val="both"/>
      </w:pPr>
      <w:r>
        <w:t xml:space="preserve">Whether disclosure of that evidence </w:t>
      </w:r>
      <w:r w:rsidR="00D24CDD">
        <w:t>would cause harm to the public interest.</w:t>
      </w:r>
    </w:p>
    <w:p w14:paraId="4171D948" w14:textId="4360C515" w:rsidR="00D24CDD" w:rsidRDefault="00D24CDD" w:rsidP="004C6F3A">
      <w:pPr>
        <w:numPr>
          <w:ilvl w:val="1"/>
          <w:numId w:val="2"/>
        </w:numPr>
        <w:autoSpaceDE w:val="0"/>
        <w:spacing w:before="240" w:after="240"/>
        <w:jc w:val="both"/>
      </w:pPr>
      <w:r>
        <w:t xml:space="preserve">If so, </w:t>
      </w:r>
      <w:r w:rsidR="001656BA">
        <w:t xml:space="preserve">whether, balancing the public interest in the administration of justice against the harm to the public interest </w:t>
      </w:r>
      <w:r w:rsidR="00AC2A5E">
        <w:t>that would be occasioned by disclosure, an order for disclosure should be made.</w:t>
      </w:r>
    </w:p>
    <w:p w14:paraId="727595EF" w14:textId="7160F152" w:rsidR="00AC2A5E" w:rsidRDefault="00AC2A5E" w:rsidP="00AC2A5E">
      <w:pPr>
        <w:numPr>
          <w:ilvl w:val="0"/>
          <w:numId w:val="2"/>
        </w:numPr>
        <w:autoSpaceDE w:val="0"/>
        <w:spacing w:before="240" w:after="240"/>
        <w:jc w:val="both"/>
      </w:pPr>
      <w:r>
        <w:t xml:space="preserve">Again, these </w:t>
      </w:r>
      <w:r w:rsidR="00600902">
        <w:t>three distinct stages have</w:t>
      </w:r>
      <w:r w:rsidR="00CC2FC5">
        <w:t xml:space="preserve"> to an extent</w:t>
      </w:r>
      <w:r w:rsidR="00600902">
        <w:t xml:space="preserve"> been superseded by </w:t>
      </w:r>
      <w:proofErr w:type="spellStart"/>
      <w:r w:rsidR="00600902">
        <w:rPr>
          <w:i/>
        </w:rPr>
        <w:t>Har</w:t>
      </w:r>
      <w:r w:rsidR="0081533C">
        <w:rPr>
          <w:i/>
        </w:rPr>
        <w:t>a</w:t>
      </w:r>
      <w:r w:rsidR="00600902">
        <w:rPr>
          <w:i/>
        </w:rPr>
        <w:t>lambous</w:t>
      </w:r>
      <w:proofErr w:type="spellEnd"/>
      <w:r w:rsidR="00C91B13">
        <w:t xml:space="preserve"> and </w:t>
      </w:r>
      <w:r w:rsidR="00C91B13">
        <w:rPr>
          <w:i/>
        </w:rPr>
        <w:t>Concordia</w:t>
      </w:r>
      <w:r w:rsidR="004B5BE6">
        <w:t xml:space="preserve">. Self-evidently, the </w:t>
      </w:r>
      <w:r w:rsidR="00D97209">
        <w:t xml:space="preserve">material over which the CMA asserts PII is </w:t>
      </w:r>
      <w:r w:rsidR="00D97209" w:rsidRPr="00AB3CF4">
        <w:rPr>
          <w:u w:val="single"/>
        </w:rPr>
        <w:t>relevant</w:t>
      </w:r>
      <w:r w:rsidR="00D97209">
        <w:t xml:space="preserve">: </w:t>
      </w:r>
      <w:r w:rsidR="00700590">
        <w:t xml:space="preserve">the PII Material </w:t>
      </w:r>
      <w:r w:rsidR="00D97209">
        <w:t>was deployed, before Mann J, in order to obtain the Warrant</w:t>
      </w:r>
      <w:r w:rsidR="00D520A8">
        <w:t>. Unsurprisingly</w:t>
      </w:r>
      <w:r w:rsidR="00700590">
        <w:t xml:space="preserve"> in this case</w:t>
      </w:r>
      <w:r w:rsidR="00D520A8">
        <w:t xml:space="preserve">, the CMA conceded that the </w:t>
      </w:r>
      <w:r w:rsidR="00954056">
        <w:t xml:space="preserve">PII Redactions were relevant. </w:t>
      </w:r>
      <w:r w:rsidR="00954056">
        <w:rPr>
          <w:i/>
        </w:rPr>
        <w:t xml:space="preserve">Ex </w:t>
      </w:r>
      <w:proofErr w:type="spellStart"/>
      <w:r w:rsidR="00954056">
        <w:rPr>
          <w:i/>
        </w:rPr>
        <w:t>hypothesi</w:t>
      </w:r>
      <w:proofErr w:type="spellEnd"/>
      <w:r w:rsidR="00954056">
        <w:t>, that must be the case.</w:t>
      </w:r>
    </w:p>
    <w:p w14:paraId="1A8AFEAA" w14:textId="4AEB63F3" w:rsidR="003E7CB4" w:rsidRDefault="000C2A21" w:rsidP="00AC2A5E">
      <w:pPr>
        <w:numPr>
          <w:ilvl w:val="0"/>
          <w:numId w:val="2"/>
        </w:numPr>
        <w:autoSpaceDE w:val="0"/>
        <w:spacing w:before="240" w:after="240"/>
        <w:jc w:val="both"/>
      </w:pPr>
      <w:r>
        <w:t xml:space="preserve">But </w:t>
      </w:r>
      <w:r w:rsidR="001B2721">
        <w:t xml:space="preserve">it must be noted that the adverse effect on the public interest in the administration of justice is </w:t>
      </w:r>
      <w:r w:rsidR="00F810E3">
        <w:t>materially greater under the present dispensation than previously.</w:t>
      </w:r>
      <w:r w:rsidR="00DE36A6">
        <w:t xml:space="preserve"> Previously, the worst that could happen</w:t>
      </w:r>
      <w:r w:rsidR="00ED720A">
        <w:t xml:space="preserve"> was that relevant material was withheld </w:t>
      </w:r>
      <w:r w:rsidR="00ED720A" w:rsidRPr="006200EE">
        <w:rPr>
          <w:u w:val="single"/>
        </w:rPr>
        <w:t>generally</w:t>
      </w:r>
      <w:r w:rsidR="00ED720A">
        <w:t xml:space="preserve">. Now, </w:t>
      </w:r>
      <w:r w:rsidR="00D82D1B">
        <w:t xml:space="preserve">the position is that relevant material is deployed before the court in the absence of an interested party. </w:t>
      </w:r>
      <w:r w:rsidR="00D5648B">
        <w:t xml:space="preserve">Inevitably, </w:t>
      </w:r>
      <w:r w:rsidR="008A20EB">
        <w:t>the court los</w:t>
      </w:r>
      <w:r w:rsidR="006B5907">
        <w:t>es the benefit</w:t>
      </w:r>
      <w:r w:rsidR="008A20EB">
        <w:t xml:space="preserve"> of </w:t>
      </w:r>
      <w:r w:rsidR="00D5648B">
        <w:t xml:space="preserve">the scrutiny </w:t>
      </w:r>
      <w:r w:rsidR="000551BD">
        <w:t xml:space="preserve">and submissions of </w:t>
      </w:r>
      <w:r w:rsidR="00D5648B">
        <w:t xml:space="preserve">that </w:t>
      </w:r>
      <w:r w:rsidR="000551BD">
        <w:t>interested party</w:t>
      </w:r>
      <w:r w:rsidR="0070097E">
        <w:t>.</w:t>
      </w:r>
      <w:r w:rsidR="00374BF2">
        <w:rPr>
          <w:rStyle w:val="FootnoteReference"/>
        </w:rPr>
        <w:footnoteReference w:id="6"/>
      </w:r>
      <w:r w:rsidR="0070097E">
        <w:t xml:space="preserve"> </w:t>
      </w:r>
    </w:p>
    <w:p w14:paraId="429809AF" w14:textId="77777777" w:rsidR="00DC5E07" w:rsidRDefault="006B0304" w:rsidP="00DC5E07">
      <w:pPr>
        <w:numPr>
          <w:ilvl w:val="0"/>
          <w:numId w:val="2"/>
        </w:numPr>
        <w:autoSpaceDE w:val="0"/>
        <w:spacing w:before="240" w:after="240"/>
        <w:jc w:val="both"/>
      </w:pPr>
      <w:r>
        <w:t>It follows that t</w:t>
      </w:r>
      <w:r w:rsidR="008C52EC">
        <w:t xml:space="preserve">he adverse effect on the due administration of justice </w:t>
      </w:r>
      <w:r w:rsidR="00EE533A">
        <w:t xml:space="preserve">is significantly greater in a case where PII material is being deployed </w:t>
      </w:r>
      <w:r w:rsidR="00930242">
        <w:t xml:space="preserve">without sight to one party </w:t>
      </w:r>
      <w:r w:rsidR="00EE533A">
        <w:t>than where it is simply being withheld</w:t>
      </w:r>
      <w:r w:rsidR="008828F8">
        <w:t xml:space="preserve"> from everyone</w:t>
      </w:r>
      <w:r w:rsidR="00EE533A">
        <w:t>.</w:t>
      </w:r>
      <w:r w:rsidR="00FB62A2">
        <w:t xml:space="preserve"> That is because one party (here, the CMA) can refer </w:t>
      </w:r>
      <w:r w:rsidR="00C73652">
        <w:t xml:space="preserve">to </w:t>
      </w:r>
      <w:r w:rsidR="00FB62A2">
        <w:t xml:space="preserve">and deploy </w:t>
      </w:r>
      <w:r w:rsidR="00C73652">
        <w:t xml:space="preserve">in argument </w:t>
      </w:r>
      <w:r w:rsidR="00FB62A2">
        <w:t xml:space="preserve">material that is </w:t>
      </w:r>
      <w:r w:rsidR="00CE7140">
        <w:t>unavailable to the other party to the dispute (here, Concordia).</w:t>
      </w:r>
    </w:p>
    <w:p w14:paraId="05754145" w14:textId="67D7E805" w:rsidR="00CF5B2F" w:rsidRDefault="00DC5E07" w:rsidP="00DC5E07">
      <w:pPr>
        <w:numPr>
          <w:ilvl w:val="0"/>
          <w:numId w:val="2"/>
        </w:numPr>
        <w:autoSpaceDE w:val="0"/>
        <w:spacing w:before="240" w:after="240"/>
        <w:jc w:val="both"/>
      </w:pPr>
      <w:r>
        <w:t>T</w:t>
      </w:r>
      <w:r w:rsidR="001A3CD8">
        <w:t xml:space="preserve">hat must mean that the cogency of the PII arguments </w:t>
      </w:r>
      <w:r w:rsidR="00CF5B2F">
        <w:t>made by the party asserting PII must</w:t>
      </w:r>
      <w:r w:rsidR="00792E9A">
        <w:t xml:space="preserve"> b</w:t>
      </w:r>
      <w:r w:rsidR="00CF5B2F">
        <w:t xml:space="preserve">e </w:t>
      </w:r>
      <w:r w:rsidR="00A74B57">
        <w:t>stronger than in a case where the PII material is simply being withheld</w:t>
      </w:r>
      <w:r w:rsidR="00254D78">
        <w:t xml:space="preserve">. </w:t>
      </w:r>
      <w:r w:rsidR="0032568B">
        <w:t>In short, the balancing exercise in a case such as this is different to the balancing exercise contemplated in previous cases</w:t>
      </w:r>
      <w:r w:rsidR="003C20C2">
        <w:t xml:space="preserve"> in that there is this additional factor to take into account</w:t>
      </w:r>
      <w:r w:rsidR="0032568B">
        <w:t>.</w:t>
      </w:r>
      <w:bookmarkEnd w:id="2"/>
    </w:p>
    <w:p w14:paraId="4175964F" w14:textId="2EF60E88" w:rsidR="00A5486A" w:rsidRDefault="00A7027E" w:rsidP="00A5486A">
      <w:pPr>
        <w:numPr>
          <w:ilvl w:val="0"/>
          <w:numId w:val="2"/>
        </w:numPr>
        <w:autoSpaceDE w:val="0"/>
        <w:spacing w:before="240" w:after="240"/>
        <w:jc w:val="both"/>
      </w:pPr>
      <w:r>
        <w:t xml:space="preserve">It is obviously not possible, in this </w:t>
      </w:r>
      <w:r w:rsidR="00252A58">
        <w:t xml:space="preserve">Open </w:t>
      </w:r>
      <w:r>
        <w:t xml:space="preserve">Judgment, to weigh the importance of </w:t>
      </w:r>
      <w:r w:rsidR="00E54768">
        <w:t xml:space="preserve">protecting the </w:t>
      </w:r>
      <w:r w:rsidR="00252A58">
        <w:t xml:space="preserve">PII Redactions in </w:t>
      </w:r>
      <w:r w:rsidR="00E54768">
        <w:t>the Section 28 Application Materials</w:t>
      </w:r>
      <w:r w:rsidR="00DC7B5E">
        <w:t xml:space="preserve">. That requires an appreciation </w:t>
      </w:r>
      <w:r w:rsidR="00DC7B5E">
        <w:lastRenderedPageBreak/>
        <w:t xml:space="preserve">of </w:t>
      </w:r>
      <w:r w:rsidR="00252A58">
        <w:t xml:space="preserve">why the PII Redactions are </w:t>
      </w:r>
      <w:r w:rsidR="00DC7B5E">
        <w:t>sensitiv</w:t>
      </w:r>
      <w:r w:rsidR="00E155FC">
        <w:t>e</w:t>
      </w:r>
      <w:r w:rsidR="00DC7B5E">
        <w:t xml:space="preserve">, which can only be gained by </w:t>
      </w:r>
      <w:r w:rsidR="00E52BD6">
        <w:t xml:space="preserve">examining </w:t>
      </w:r>
      <w:r w:rsidR="004B1F9C">
        <w:t>them</w:t>
      </w:r>
      <w:r w:rsidR="00E52BD6">
        <w:t xml:space="preserve">. That is done in </w:t>
      </w:r>
      <w:r w:rsidR="00E155FC">
        <w:t>Section</w:t>
      </w:r>
      <w:r w:rsidR="000B3B32">
        <w:t xml:space="preserve"> D </w:t>
      </w:r>
      <w:r w:rsidR="00E52BD6">
        <w:t>of the Closed Judgment.</w:t>
      </w:r>
    </w:p>
    <w:p w14:paraId="702D3B61" w14:textId="3BDF2AD7" w:rsidR="004B1F9C" w:rsidRDefault="003B650D" w:rsidP="00A5486A">
      <w:pPr>
        <w:numPr>
          <w:ilvl w:val="0"/>
          <w:numId w:val="2"/>
        </w:numPr>
        <w:autoSpaceDE w:val="0"/>
        <w:spacing w:before="240" w:after="240"/>
        <w:jc w:val="both"/>
      </w:pPr>
      <w:r>
        <w:t xml:space="preserve">Equally, and for the same reasons, it is not possible to consider whether </w:t>
      </w:r>
      <w:r w:rsidR="00095554">
        <w:t xml:space="preserve">the public interest in preventing disclosure of </w:t>
      </w:r>
      <w:r w:rsidR="009949FE">
        <w:t>the sensitive materi</w:t>
      </w:r>
      <w:r w:rsidR="00E07571">
        <w:t xml:space="preserve">al </w:t>
      </w:r>
      <w:r w:rsidR="00BA1668">
        <w:t xml:space="preserve">can be protected in a manner </w:t>
      </w:r>
      <w:r w:rsidR="00BA1668">
        <w:rPr>
          <w:u w:val="single"/>
        </w:rPr>
        <w:t>other than</w:t>
      </w:r>
      <w:r w:rsidR="00BA1668">
        <w:t xml:space="preserve"> </w:t>
      </w:r>
      <w:r w:rsidR="00F13399">
        <w:t xml:space="preserve">through </w:t>
      </w:r>
      <w:r w:rsidR="009466A4">
        <w:t xml:space="preserve">the use of a </w:t>
      </w:r>
      <w:r w:rsidR="00ED5A90">
        <w:t>“closed material procedure”</w:t>
      </w:r>
      <w:r w:rsidR="00A71D21">
        <w:t xml:space="preserve">. </w:t>
      </w:r>
      <w:r w:rsidR="001163E4">
        <w:t>T</w:t>
      </w:r>
      <w:r w:rsidR="00E121F1">
        <w:t xml:space="preserve">his is a matter considered in </w:t>
      </w:r>
      <w:r w:rsidR="001163E4">
        <w:t xml:space="preserve">Section F </w:t>
      </w:r>
      <w:r w:rsidR="00E121F1">
        <w:t xml:space="preserve">of the Closed Judgment. </w:t>
      </w:r>
      <w:r w:rsidR="0034689A">
        <w:t xml:space="preserve">However, because </w:t>
      </w:r>
      <w:r w:rsidR="00CF55CE">
        <w:t xml:space="preserve">there is a point </w:t>
      </w:r>
      <w:r w:rsidR="008D783D">
        <w:t xml:space="preserve">of law </w:t>
      </w:r>
      <w:r w:rsidR="00B92F5B">
        <w:t>in issue</w:t>
      </w:r>
      <w:r w:rsidR="0064271C">
        <w:t xml:space="preserve"> regarding the </w:t>
      </w:r>
      <w:r w:rsidR="000559DE">
        <w:t xml:space="preserve">ability of the courts to protect </w:t>
      </w:r>
      <w:r w:rsidR="005C200C">
        <w:t xml:space="preserve">PII Material other than through </w:t>
      </w:r>
      <w:r w:rsidR="00462E86">
        <w:t>“closed material procedures”</w:t>
      </w:r>
      <w:r w:rsidR="00A53635">
        <w:t xml:space="preserve">, </w:t>
      </w:r>
      <w:r w:rsidR="005C200C">
        <w:t xml:space="preserve">it is appropriate that </w:t>
      </w:r>
      <w:r w:rsidR="003B3D0D">
        <w:t>I deal with th</w:t>
      </w:r>
      <w:r w:rsidR="005C200C">
        <w:t>is</w:t>
      </w:r>
      <w:r w:rsidR="003B3D0D">
        <w:t xml:space="preserve"> </w:t>
      </w:r>
      <w:r w:rsidR="001F5AA5">
        <w:t xml:space="preserve">(purely legal) </w:t>
      </w:r>
      <w:r w:rsidR="003B3D0D">
        <w:t>question here</w:t>
      </w:r>
      <w:r w:rsidR="008A75B5">
        <w:t>. Necessarily, the discussion is an abstract one:</w:t>
      </w:r>
    </w:p>
    <w:p w14:paraId="5DFF55E3" w14:textId="54FD3821" w:rsidR="003B3D0D" w:rsidRDefault="00D21AD0" w:rsidP="003B3D0D">
      <w:pPr>
        <w:numPr>
          <w:ilvl w:val="1"/>
          <w:numId w:val="2"/>
        </w:numPr>
        <w:autoSpaceDE w:val="0"/>
        <w:spacing w:before="240" w:after="240"/>
        <w:jc w:val="both"/>
      </w:pPr>
      <w:r>
        <w:t>It see</w:t>
      </w:r>
      <w:r w:rsidR="000E25AE">
        <w:t>m</w:t>
      </w:r>
      <w:r w:rsidR="005E6090">
        <w:t>ed</w:t>
      </w:r>
      <w:r w:rsidR="000E25AE">
        <w:t xml:space="preserve"> to be clear law that when considering </w:t>
      </w:r>
      <w:r w:rsidR="004F4A84">
        <w:t>an assertion of PII</w:t>
      </w:r>
      <w:r w:rsidR="008A75B5">
        <w:t xml:space="preserve"> </w:t>
      </w:r>
      <w:r w:rsidR="000864C5">
        <w:t xml:space="preserve">the court should </w:t>
      </w:r>
      <w:r w:rsidR="004C7A59">
        <w:t>“not merely consider whether the immunity is well founded but also</w:t>
      </w:r>
      <w:r w:rsidR="000864C5">
        <w:t>…</w:t>
      </w:r>
      <w:r w:rsidR="004C7A59">
        <w:t>assess how the issue can be resolved fairly</w:t>
      </w:r>
      <w:r w:rsidR="00637C17">
        <w:t xml:space="preserve">. For this purpose, the court will wish to consider whether the position can be resolved </w:t>
      </w:r>
      <w:r w:rsidR="00B7465C">
        <w:t>by ordering disclosure on terms which protect the public interest”.</w:t>
      </w:r>
      <w:r w:rsidR="00B7465C">
        <w:rPr>
          <w:rStyle w:val="FootnoteReference"/>
        </w:rPr>
        <w:footnoteReference w:id="7"/>
      </w:r>
    </w:p>
    <w:p w14:paraId="1E553DCF" w14:textId="01CAE638" w:rsidR="00933E20" w:rsidRDefault="00710268" w:rsidP="003B3D0D">
      <w:pPr>
        <w:numPr>
          <w:ilvl w:val="1"/>
          <w:numId w:val="2"/>
        </w:numPr>
        <w:autoSpaceDE w:val="0"/>
        <w:spacing w:before="240" w:after="240"/>
        <w:jc w:val="both"/>
      </w:pPr>
      <w:r>
        <w:t xml:space="preserve">Thus, in </w:t>
      </w:r>
      <w:r>
        <w:rPr>
          <w:i/>
        </w:rPr>
        <w:t>Conway v. Rimmer</w:t>
      </w:r>
      <w:r>
        <w:t xml:space="preserve"> itself, Lord Pearce</w:t>
      </w:r>
      <w:r w:rsidR="00802079">
        <w:t xml:space="preserve"> contemplated masking or sealing up certain parts of documents and only disclosing the rest</w:t>
      </w:r>
      <w:r w:rsidR="003C370E">
        <w:t>:</w:t>
      </w:r>
      <w:r w:rsidR="00802079">
        <w:rPr>
          <w:rStyle w:val="FootnoteReference"/>
        </w:rPr>
        <w:footnoteReference w:id="8"/>
      </w:r>
    </w:p>
    <w:p w14:paraId="5FEEAAEA" w14:textId="4318DC7C" w:rsidR="003C370E" w:rsidRPr="00FC60AD" w:rsidRDefault="003C370E" w:rsidP="003C370E">
      <w:pPr>
        <w:autoSpaceDE w:val="0"/>
        <w:spacing w:before="240" w:after="240"/>
        <w:ind w:left="1134"/>
        <w:jc w:val="both"/>
        <w:rPr>
          <w:sz w:val="22"/>
          <w:szCs w:val="22"/>
        </w:rPr>
      </w:pPr>
      <w:r w:rsidRPr="00FC60AD">
        <w:rPr>
          <w:sz w:val="22"/>
          <w:szCs w:val="22"/>
        </w:rPr>
        <w:t>“If part of a document is innocuous but part is of such a nature that its disclosure would be undesirable, it should seal up the latter part and order discovery of the rest, provided that this will not give a distorted or misleading impression. In all these matters it must consider the public interest as a whole, giving due weight both to the administration of the executive and to the administration of justice.</w:t>
      </w:r>
      <w:r w:rsidR="00FC60AD" w:rsidRPr="00FC60AD">
        <w:rPr>
          <w:sz w:val="22"/>
          <w:szCs w:val="22"/>
        </w:rPr>
        <w:t>”</w:t>
      </w:r>
    </w:p>
    <w:p w14:paraId="254B5E8E" w14:textId="11B32E69" w:rsidR="00970131" w:rsidRDefault="00196B76" w:rsidP="00970131">
      <w:pPr>
        <w:autoSpaceDE w:val="0"/>
        <w:spacing w:before="240" w:after="240"/>
        <w:ind w:left="1134"/>
        <w:jc w:val="both"/>
      </w:pPr>
      <w:r>
        <w:t xml:space="preserve">It will be observed that this </w:t>
      </w:r>
      <w:r w:rsidR="00AD04E1">
        <w:t xml:space="preserve">was the </w:t>
      </w:r>
      <w:r>
        <w:t>course followed in the present case</w:t>
      </w:r>
      <w:r w:rsidR="00971BB7">
        <w:t xml:space="preserve">: as I have described, the </w:t>
      </w:r>
      <w:r w:rsidR="000823E6">
        <w:t xml:space="preserve">CMA </w:t>
      </w:r>
      <w:r w:rsidR="00971BB7">
        <w:t xml:space="preserve">disclosed </w:t>
      </w:r>
      <w:r w:rsidR="00CF43A4">
        <w:t xml:space="preserve">to Concordia </w:t>
      </w:r>
      <w:r w:rsidR="00971BB7">
        <w:t xml:space="preserve">the </w:t>
      </w:r>
      <w:r w:rsidR="008500D5">
        <w:t>Section 28 Application Materials</w:t>
      </w:r>
      <w:r w:rsidR="00CF43A4">
        <w:t xml:space="preserve">, subject to the Relevance Redactions and the </w:t>
      </w:r>
      <w:r w:rsidR="008F2588">
        <w:t>PII Redactions.</w:t>
      </w:r>
    </w:p>
    <w:p w14:paraId="19FE704E" w14:textId="2FF1F120" w:rsidR="00C317E8" w:rsidRDefault="00970131" w:rsidP="00C317E8">
      <w:pPr>
        <w:numPr>
          <w:ilvl w:val="1"/>
          <w:numId w:val="2"/>
        </w:numPr>
        <w:autoSpaceDE w:val="0"/>
        <w:spacing w:before="240" w:after="240"/>
        <w:jc w:val="both"/>
      </w:pPr>
      <w:r>
        <w:t xml:space="preserve">By the same measure, it is incumbent on the court to consider whether relevant extracts can be disclosed or a summary made of the relevant material. In </w:t>
      </w:r>
      <w:r w:rsidRPr="00970131">
        <w:rPr>
          <w:i/>
        </w:rPr>
        <w:t xml:space="preserve">R v. Chief Constable of West Midlands Police, ex </w:t>
      </w:r>
      <w:proofErr w:type="spellStart"/>
      <w:r w:rsidRPr="00970131">
        <w:rPr>
          <w:i/>
        </w:rPr>
        <w:t>parte</w:t>
      </w:r>
      <w:proofErr w:type="spellEnd"/>
      <w:r w:rsidRPr="00970131">
        <w:rPr>
          <w:i/>
        </w:rPr>
        <w:t xml:space="preserve"> Wiley</w:t>
      </w:r>
      <w:r>
        <w:t xml:space="preserve"> [1995] 1 AC 274 at 306-307, Lord Woolf stated</w:t>
      </w:r>
      <w:r w:rsidR="005722C1">
        <w:t xml:space="preserve"> (emphasis supplied)</w:t>
      </w:r>
      <w:r>
        <w:t>:</w:t>
      </w:r>
    </w:p>
    <w:p w14:paraId="22F9DB95" w14:textId="5D7C086C" w:rsidR="00970131" w:rsidRPr="005722C1" w:rsidRDefault="00970131" w:rsidP="00943AE0">
      <w:pPr>
        <w:autoSpaceDE w:val="0"/>
        <w:spacing w:before="240" w:after="240"/>
        <w:ind w:left="1134"/>
        <w:jc w:val="both"/>
        <w:rPr>
          <w:sz w:val="22"/>
          <w:szCs w:val="22"/>
        </w:rPr>
      </w:pPr>
      <w:r w:rsidRPr="005722C1">
        <w:rPr>
          <w:sz w:val="22"/>
          <w:szCs w:val="22"/>
        </w:rPr>
        <w:t>“If the legal advisers of a party, who is in possession of material which is the subject of immunity from disclosure, is aware of the contents of that material, they will be in a better position to perform what they should consider to be their duty, that is to assist the court and the other party to mitigate any</w:t>
      </w:r>
      <w:r w:rsidR="00C317E8" w:rsidRPr="005722C1">
        <w:rPr>
          <w:sz w:val="22"/>
          <w:szCs w:val="22"/>
        </w:rPr>
        <w:t xml:space="preserve"> disadvantage which results from </w:t>
      </w:r>
      <w:r w:rsidR="00943AE0" w:rsidRPr="005722C1">
        <w:rPr>
          <w:sz w:val="22"/>
          <w:szCs w:val="22"/>
        </w:rPr>
        <w:t xml:space="preserve">the material being not disclosed. It may be possible to provide any necessary information </w:t>
      </w:r>
      <w:r w:rsidR="003B01DE" w:rsidRPr="005722C1">
        <w:rPr>
          <w:sz w:val="22"/>
          <w:szCs w:val="22"/>
        </w:rPr>
        <w:t xml:space="preserve">without producing the actual document. </w:t>
      </w:r>
      <w:r w:rsidR="003B01DE" w:rsidRPr="005722C1">
        <w:rPr>
          <w:sz w:val="22"/>
          <w:szCs w:val="22"/>
          <w:u w:val="single"/>
        </w:rPr>
        <w:t>It may be possible to disclose a part of the document or a document on a restricted basis</w:t>
      </w:r>
      <w:r w:rsidR="00397837" w:rsidRPr="005722C1">
        <w:rPr>
          <w:sz w:val="22"/>
          <w:szCs w:val="22"/>
          <w:u w:val="single"/>
        </w:rPr>
        <w:t>.</w:t>
      </w:r>
      <w:r w:rsidR="00397837" w:rsidRPr="005722C1">
        <w:rPr>
          <w:sz w:val="22"/>
          <w:szCs w:val="22"/>
        </w:rPr>
        <w:t xml:space="preserve"> An assurance may be accepted by counsel. In many cases, co-operation between the </w:t>
      </w:r>
      <w:r w:rsidR="00864CD0" w:rsidRPr="005722C1">
        <w:rPr>
          <w:sz w:val="22"/>
          <w:szCs w:val="22"/>
        </w:rPr>
        <w:t xml:space="preserve">legal advisers of the parties should avoid the risk of injustice. There is usually a spectrum of action </w:t>
      </w:r>
      <w:r w:rsidR="00085A5C" w:rsidRPr="005722C1">
        <w:rPr>
          <w:sz w:val="22"/>
          <w:szCs w:val="22"/>
        </w:rPr>
        <w:t>which can be taken if the parties are sensible which will mean that any prejudice due to non-disclosure of the documents is reduced to a minimum.”</w:t>
      </w:r>
    </w:p>
    <w:p w14:paraId="62A30A92" w14:textId="25AA01DD" w:rsidR="00C317E8" w:rsidRDefault="005722C1" w:rsidP="00C317E8">
      <w:pPr>
        <w:numPr>
          <w:ilvl w:val="1"/>
          <w:numId w:val="2"/>
        </w:numPr>
        <w:autoSpaceDE w:val="0"/>
        <w:spacing w:before="240" w:after="240"/>
        <w:jc w:val="both"/>
      </w:pPr>
      <w:r>
        <w:lastRenderedPageBreak/>
        <w:t xml:space="preserve">The underlined words appear to suggest that </w:t>
      </w:r>
      <w:r w:rsidR="008823CF">
        <w:t xml:space="preserve">disclosure of a PII document may be </w:t>
      </w:r>
      <w:r w:rsidR="003E099D">
        <w:t xml:space="preserve">limited to solicitors and counsel, which is the view expressed by </w:t>
      </w:r>
      <w:r w:rsidR="003E099D">
        <w:rPr>
          <w:i/>
        </w:rPr>
        <w:t>Hollander</w:t>
      </w:r>
      <w:r w:rsidR="00196584">
        <w:t>.</w:t>
      </w:r>
      <w:r w:rsidR="003E099D">
        <w:rPr>
          <w:rStyle w:val="FootnoteReference"/>
        </w:rPr>
        <w:footnoteReference w:id="9"/>
      </w:r>
      <w:r w:rsidR="00196584">
        <w:t xml:space="preserve"> Th</w:t>
      </w:r>
      <w:r w:rsidR="00986BB6">
        <w:t xml:space="preserve">at </w:t>
      </w:r>
      <w:r w:rsidR="00F57CE3">
        <w:t>course comes very close to the creation of a confidentiality ring</w:t>
      </w:r>
      <w:r w:rsidR="004E02D6">
        <w:t xml:space="preserve">, which </w:t>
      </w:r>
      <w:r w:rsidR="00674E8E">
        <w:t>wa</w:t>
      </w:r>
      <w:r w:rsidR="004E02D6">
        <w:t xml:space="preserve">s an approach considered by the Court of Appeal in </w:t>
      </w:r>
      <w:r w:rsidR="00227510">
        <w:rPr>
          <w:i/>
        </w:rPr>
        <w:t>Concordia</w:t>
      </w:r>
      <w:r w:rsidR="00227510">
        <w:t xml:space="preserve"> and rejected by it.</w:t>
      </w:r>
      <w:r w:rsidR="004C3100">
        <w:t xml:space="preserve"> The basis upon which the Court of Appeal rejected the use of confidentiality rings was not </w:t>
      </w:r>
      <w:r w:rsidR="00CA28A4">
        <w:t>(or not only) because of their inherent unsuitability</w:t>
      </w:r>
      <w:r w:rsidR="00045549">
        <w:t xml:space="preserve"> in PII Cases</w:t>
      </w:r>
      <w:r w:rsidR="00837469">
        <w:rPr>
          <w:rStyle w:val="FootnoteReference"/>
        </w:rPr>
        <w:footnoteReference w:id="10"/>
      </w:r>
      <w:r w:rsidR="00042C58">
        <w:t xml:space="preserve"> but becaus</w:t>
      </w:r>
      <w:r w:rsidR="00FF440B">
        <w:t xml:space="preserve">e “once a court has held </w:t>
      </w:r>
      <w:r w:rsidR="003F7C82">
        <w:t>that material is protected by PII it cannot be disclosed, whether into a confidentiality ring or otherwise”</w:t>
      </w:r>
      <w:r w:rsidR="00244370">
        <w:t>.</w:t>
      </w:r>
      <w:r w:rsidR="00244370">
        <w:rPr>
          <w:rStyle w:val="FootnoteReference"/>
        </w:rPr>
        <w:footnoteReference w:id="11"/>
      </w:r>
    </w:p>
    <w:p w14:paraId="36DF0D02" w14:textId="415273A7" w:rsidR="00E85350" w:rsidRDefault="0079054D" w:rsidP="00C317E8">
      <w:pPr>
        <w:numPr>
          <w:ilvl w:val="1"/>
          <w:numId w:val="2"/>
        </w:numPr>
        <w:autoSpaceDE w:val="0"/>
        <w:spacing w:before="240" w:after="240"/>
        <w:jc w:val="both"/>
      </w:pPr>
      <w:r>
        <w:t xml:space="preserve">I doubt whether this </w:t>
      </w:r>
      <w:r w:rsidR="00427903">
        <w:t xml:space="preserve">injunction against disclosure prohibits the </w:t>
      </w:r>
      <w:r w:rsidR="00427903">
        <w:rPr>
          <w:u w:val="single"/>
        </w:rPr>
        <w:t>redaction</w:t>
      </w:r>
      <w:r w:rsidR="00427903">
        <w:t xml:space="preserve"> of </w:t>
      </w:r>
      <w:r w:rsidR="00DD12FA">
        <w:t>PII materials so as to excise the sensitive parts</w:t>
      </w:r>
      <w:r w:rsidR="00CC65C0">
        <w:t>,</w:t>
      </w:r>
      <w:r w:rsidR="00DD12FA">
        <w:t xml:space="preserve"> </w:t>
      </w:r>
      <w:r w:rsidR="00F154AA">
        <w:t xml:space="preserve">or to the provision of a summary or gist, not least because that has been </w:t>
      </w:r>
      <w:r w:rsidR="00335591">
        <w:t xml:space="preserve">accepted practice since at least </w:t>
      </w:r>
      <w:r w:rsidR="00335591">
        <w:rPr>
          <w:i/>
        </w:rPr>
        <w:t>Conway v. Rimmer</w:t>
      </w:r>
      <w:r w:rsidR="00335591">
        <w:t xml:space="preserve"> and was the process adopted in this case by the CMA. However, </w:t>
      </w:r>
      <w:r w:rsidR="009F4BAE">
        <w:t>it does seem to me to preclude</w:t>
      </w:r>
      <w:r w:rsidR="008C5B10">
        <w:t xml:space="preserve"> the use of forms of process (such as confidentiality rings) </w:t>
      </w:r>
      <w:r w:rsidR="005E6090">
        <w:t>which involve</w:t>
      </w:r>
      <w:r w:rsidR="0024150B">
        <w:t>s</w:t>
      </w:r>
      <w:r w:rsidR="005E6090">
        <w:t xml:space="preserve"> the disclosure of PII material, but under </w:t>
      </w:r>
      <w:r w:rsidR="0024150B">
        <w:t>a special process designed to protect the public interest</w:t>
      </w:r>
      <w:r w:rsidR="00373363">
        <w:t xml:space="preserve">. In such cases, the </w:t>
      </w:r>
      <w:r w:rsidR="00373363" w:rsidRPr="00663EC2">
        <w:rPr>
          <w:u w:val="single"/>
        </w:rPr>
        <w:t>only</w:t>
      </w:r>
      <w:r w:rsidR="00373363">
        <w:t xml:space="preserve"> proper process is a </w:t>
      </w:r>
      <w:r w:rsidR="0070503E">
        <w:t>“closed material process”</w:t>
      </w:r>
      <w:r w:rsidR="0024150B">
        <w:t>.</w:t>
      </w:r>
      <w:r w:rsidR="0024150B">
        <w:rPr>
          <w:rStyle w:val="FootnoteReference"/>
        </w:rPr>
        <w:footnoteReference w:id="12"/>
      </w:r>
    </w:p>
    <w:p w14:paraId="20F8E846" w14:textId="132B99A6" w:rsidR="00934505" w:rsidRPr="002A1457" w:rsidRDefault="00934505" w:rsidP="00934505">
      <w:pPr>
        <w:autoSpaceDE w:val="0"/>
        <w:spacing w:before="240" w:after="240"/>
        <w:ind w:left="567"/>
        <w:jc w:val="both"/>
      </w:pPr>
      <w:r>
        <w:t xml:space="preserve">Accordingly, even if I had concluded (which I did not) that there was some </w:t>
      </w:r>
      <w:r w:rsidR="00C12737">
        <w:t xml:space="preserve">“third way” which would have allowed the disclosure of PII </w:t>
      </w:r>
      <w:r w:rsidR="00663EC2">
        <w:t>Redactions</w:t>
      </w:r>
      <w:r w:rsidR="00C12737">
        <w:t xml:space="preserve"> whilst sufficiently protecting the public interest</w:t>
      </w:r>
      <w:r w:rsidR="00663EC2">
        <w:t xml:space="preserve"> in keeping such material under wraps</w:t>
      </w:r>
      <w:r w:rsidR="00C12737">
        <w:t xml:space="preserve">, </w:t>
      </w:r>
      <w:r w:rsidR="00D14978">
        <w:t xml:space="preserve">that is a course that would not have been open to me for the reasons given by the Court of Appeal in </w:t>
      </w:r>
      <w:r w:rsidR="00180E0E">
        <w:rPr>
          <w:i/>
        </w:rPr>
        <w:t>Powell v. Chief Constable of North Wales Constabulary</w:t>
      </w:r>
      <w:r w:rsidR="002A1457">
        <w:t xml:space="preserve"> and </w:t>
      </w:r>
      <w:r w:rsidR="002A1457">
        <w:rPr>
          <w:i/>
        </w:rPr>
        <w:t>Concordia</w:t>
      </w:r>
      <w:r w:rsidR="002A1457">
        <w:t>.</w:t>
      </w:r>
    </w:p>
    <w:p w14:paraId="53B2813B" w14:textId="1BF5FD13" w:rsidR="00E52BD6" w:rsidRDefault="002D1842" w:rsidP="002A1457">
      <w:pPr>
        <w:numPr>
          <w:ilvl w:val="0"/>
          <w:numId w:val="2"/>
        </w:numPr>
        <w:autoSpaceDE w:val="0"/>
        <w:spacing w:before="240" w:after="240"/>
        <w:jc w:val="both"/>
      </w:pPr>
      <w:r>
        <w:t xml:space="preserve">In terms of weighing the </w:t>
      </w:r>
      <w:r w:rsidR="00CA5C9E">
        <w:t>adverse effect on the due administration of justice</w:t>
      </w:r>
      <w:r w:rsidR="00A7215F">
        <w:t>, the following points are relevant:</w:t>
      </w:r>
    </w:p>
    <w:p w14:paraId="31BBE7D9" w14:textId="563C6B5C" w:rsidR="002A1457" w:rsidRDefault="004D46F4" w:rsidP="002A1457">
      <w:pPr>
        <w:numPr>
          <w:ilvl w:val="1"/>
          <w:numId w:val="2"/>
        </w:numPr>
        <w:autoSpaceDE w:val="0"/>
        <w:spacing w:before="240" w:after="240"/>
        <w:jc w:val="both"/>
      </w:pPr>
      <w:r>
        <w:rPr>
          <w:i/>
        </w:rPr>
        <w:t>The seriousness of the matter before me.</w:t>
      </w:r>
      <w:r>
        <w:t xml:space="preserve"> Obviously, the question of whether the Warrant was </w:t>
      </w:r>
      <w:r w:rsidR="00863B1C">
        <w:t>properly granted or should be varied is an important one. Section 28 warrants are intrusive</w:t>
      </w:r>
      <w:r w:rsidR="00186383">
        <w:t xml:space="preserve">, and the right of the subject of the warrant to mount a challenge is an important one. </w:t>
      </w:r>
      <w:r w:rsidR="00E678D7">
        <w:t xml:space="preserve">However, on the scale of significance, an application to set aside a section 28 warrant does not involve the liberty of the subject. </w:t>
      </w:r>
      <w:r w:rsidR="006D5CEF">
        <w:t xml:space="preserve">Nor does it involve the invasion of </w:t>
      </w:r>
      <w:r w:rsidR="005E0A70">
        <w:t>personal privacy</w:t>
      </w:r>
      <w:r w:rsidR="00BC69F5">
        <w:rPr>
          <w:rStyle w:val="FootnoteReference"/>
        </w:rPr>
        <w:footnoteReference w:id="13"/>
      </w:r>
      <w:r w:rsidR="005E0A70">
        <w:t xml:space="preserve"> or</w:t>
      </w:r>
      <w:r w:rsidR="00BC69F5">
        <w:t xml:space="preserve"> of</w:t>
      </w:r>
      <w:r w:rsidR="005E0A70">
        <w:t xml:space="preserve"> a private home. It involves </w:t>
      </w:r>
      <w:r w:rsidR="00941E29">
        <w:t xml:space="preserve">the </w:t>
      </w:r>
      <w:r w:rsidR="00D818F6">
        <w:t xml:space="preserve">searching of </w:t>
      </w:r>
      <w:r w:rsidR="00D818F6" w:rsidRPr="003C39A6">
        <w:rPr>
          <w:u w:val="single"/>
        </w:rPr>
        <w:t>business</w:t>
      </w:r>
      <w:r w:rsidR="00D818F6">
        <w:t xml:space="preserve"> premises.</w:t>
      </w:r>
      <w:r w:rsidR="00F45CA1">
        <w:t xml:space="preserve"> Thus, whilst I consider that the present case ranks well-above</w:t>
      </w:r>
      <w:r w:rsidR="00D818F6">
        <w:t xml:space="preserve"> </w:t>
      </w:r>
      <w:r w:rsidR="00F45CA1">
        <w:t xml:space="preserve">proceedings where </w:t>
      </w:r>
      <w:r w:rsidR="00F82589">
        <w:t xml:space="preserve">only damages are being claimed, it ranks </w:t>
      </w:r>
      <w:r w:rsidR="00F82589">
        <w:lastRenderedPageBreak/>
        <w:t xml:space="preserve">below cases where the liberty of the subject is at stake </w:t>
      </w:r>
      <w:r w:rsidR="006432B6">
        <w:t xml:space="preserve">because the PII material </w:t>
      </w:r>
      <w:r w:rsidR="007D37E5">
        <w:t xml:space="preserve">being withheld </w:t>
      </w:r>
      <w:r w:rsidR="006432B6">
        <w:t xml:space="preserve">is </w:t>
      </w:r>
      <w:r w:rsidR="00343B00">
        <w:t>relevant to the outcome of a criminal trial.</w:t>
      </w:r>
    </w:p>
    <w:p w14:paraId="1696F780" w14:textId="72EA9815" w:rsidR="00343B00" w:rsidRDefault="00343B00" w:rsidP="002A1457">
      <w:pPr>
        <w:numPr>
          <w:ilvl w:val="1"/>
          <w:numId w:val="2"/>
        </w:numPr>
        <w:autoSpaceDE w:val="0"/>
        <w:spacing w:before="240" w:after="240"/>
        <w:jc w:val="both"/>
      </w:pPr>
      <w:r>
        <w:rPr>
          <w:i/>
        </w:rPr>
        <w:t>On the facts of the present case, the Warrant would have been executed in any event.</w:t>
      </w:r>
      <w:r>
        <w:t xml:space="preserve"> As I have noted, Concordia’s challenge is </w:t>
      </w:r>
      <w:r w:rsidR="002E53C7">
        <w:t xml:space="preserve">only in relation to </w:t>
      </w:r>
      <w:proofErr w:type="spellStart"/>
      <w:r w:rsidR="00537839">
        <w:t>Carbimazole</w:t>
      </w:r>
      <w:proofErr w:type="spellEnd"/>
      <w:r w:rsidR="00537839">
        <w:t xml:space="preserve"> and Hydrocorti</w:t>
      </w:r>
      <w:r w:rsidR="00006655">
        <w:t>s</w:t>
      </w:r>
      <w:r w:rsidR="00537839">
        <w:t>one</w:t>
      </w:r>
      <w:r w:rsidR="003D1673">
        <w:t xml:space="preserve">. To the extent that the Warrant applies to other relevant products, it stands without challenge. </w:t>
      </w:r>
      <w:r w:rsidR="007462F7">
        <w:t xml:space="preserve">It follows, therefore, that – whether the Warrant is justified in relation to </w:t>
      </w:r>
      <w:proofErr w:type="spellStart"/>
      <w:r w:rsidR="007462F7">
        <w:t>Carbimazole</w:t>
      </w:r>
      <w:proofErr w:type="spellEnd"/>
      <w:r w:rsidR="007462F7">
        <w:t xml:space="preserve"> and Hydrocorti</w:t>
      </w:r>
      <w:r w:rsidR="00006655">
        <w:t>s</w:t>
      </w:r>
      <w:r w:rsidR="007462F7">
        <w:t xml:space="preserve">one or not </w:t>
      </w:r>
      <w:r w:rsidR="007412C4">
        <w:t>–</w:t>
      </w:r>
      <w:r w:rsidR="007462F7">
        <w:t xml:space="preserve"> </w:t>
      </w:r>
      <w:r w:rsidR="007412C4">
        <w:t>a section 28 warrant would have been executed against Concordia</w:t>
      </w:r>
      <w:r w:rsidR="00260EC3">
        <w:t xml:space="preserve"> in any event</w:t>
      </w:r>
      <w:r w:rsidR="007412C4">
        <w:t xml:space="preserve">. This does seem to me to be </w:t>
      </w:r>
      <w:r w:rsidR="00BA1CA6">
        <w:t>a significant factor limiting the adverse effects of granting PII</w:t>
      </w:r>
      <w:r w:rsidR="00D70DD5">
        <w:t xml:space="preserve"> to the PII Redactions.</w:t>
      </w:r>
      <w:r w:rsidR="00090B45">
        <w:rPr>
          <w:rStyle w:val="FootnoteReference"/>
        </w:rPr>
        <w:footnoteReference w:id="14"/>
      </w:r>
    </w:p>
    <w:p w14:paraId="4531F10E" w14:textId="77777777" w:rsidR="00184FDD" w:rsidRDefault="00D13F80" w:rsidP="002A1457">
      <w:pPr>
        <w:numPr>
          <w:ilvl w:val="1"/>
          <w:numId w:val="2"/>
        </w:numPr>
        <w:autoSpaceDE w:val="0"/>
        <w:spacing w:before="240" w:after="240"/>
        <w:jc w:val="both"/>
      </w:pPr>
      <w:r>
        <w:rPr>
          <w:i/>
        </w:rPr>
        <w:t>Prejudice to Concordia in vindicating its rights.</w:t>
      </w:r>
      <w:r w:rsidR="00483263">
        <w:t xml:space="preserve"> </w:t>
      </w:r>
      <w:r w:rsidR="00184FDD">
        <w:t>As to this:</w:t>
      </w:r>
    </w:p>
    <w:p w14:paraId="5074A3C4" w14:textId="1F316665" w:rsidR="00BA1CA6" w:rsidRDefault="00126D22" w:rsidP="00184FDD">
      <w:pPr>
        <w:numPr>
          <w:ilvl w:val="2"/>
          <w:numId w:val="2"/>
        </w:numPr>
        <w:autoSpaceDE w:val="0"/>
        <w:spacing w:before="240" w:after="240"/>
        <w:jc w:val="both"/>
      </w:pPr>
      <w:r>
        <w:t xml:space="preserve">As counsel for the CMA pointed out, in my earlier decision in these proceedings </w:t>
      </w:r>
      <w:r w:rsidR="00BF6F93">
        <w:t>([2017] EWHC 2911 (Ch)</w:t>
      </w:r>
      <w:r w:rsidR="007733B9">
        <w:t xml:space="preserve"> at [64]), I expressed myself in fairly trenchant terms:</w:t>
      </w:r>
    </w:p>
    <w:p w14:paraId="06090CE8" w14:textId="7E23F629" w:rsidR="007733B9" w:rsidRPr="006C5289" w:rsidRDefault="00574941" w:rsidP="00184FDD">
      <w:pPr>
        <w:autoSpaceDE w:val="0"/>
        <w:spacing w:before="240" w:after="240"/>
        <w:ind w:left="1814"/>
        <w:jc w:val="both"/>
        <w:rPr>
          <w:sz w:val="22"/>
          <w:szCs w:val="22"/>
        </w:rPr>
      </w:pPr>
      <w:r w:rsidRPr="006C5289">
        <w:rPr>
          <w:sz w:val="22"/>
          <w:szCs w:val="22"/>
        </w:rPr>
        <w:t>“</w:t>
      </w:r>
      <w:r w:rsidRPr="006C5289">
        <w:rPr>
          <w:i/>
          <w:sz w:val="22"/>
          <w:szCs w:val="22"/>
        </w:rPr>
        <w:t xml:space="preserve">Al </w:t>
      </w:r>
      <w:proofErr w:type="spellStart"/>
      <w:r w:rsidRPr="006C5289">
        <w:rPr>
          <w:i/>
          <w:sz w:val="22"/>
          <w:szCs w:val="22"/>
        </w:rPr>
        <w:t>Rawi</w:t>
      </w:r>
      <w:proofErr w:type="spellEnd"/>
      <w:r w:rsidRPr="006C5289">
        <w:rPr>
          <w:sz w:val="22"/>
          <w:szCs w:val="22"/>
        </w:rPr>
        <w:t xml:space="preserve"> made clear that a “closed material” process requires legislative underpinning. That is both because such a process is intrinsically unfair</w:t>
      </w:r>
      <w:r w:rsidR="005E0019" w:rsidRPr="006C5289">
        <w:rPr>
          <w:sz w:val="22"/>
          <w:szCs w:val="22"/>
        </w:rPr>
        <w:t xml:space="preserve"> – because it eschews the level playing field that is the hallmark of a fair litigation process – and because </w:t>
      </w:r>
      <w:r w:rsidR="00C3716B" w:rsidRPr="006C5289">
        <w:rPr>
          <w:sz w:val="22"/>
          <w:szCs w:val="22"/>
        </w:rPr>
        <w:t>the process has the significant disadvantage of impairing the perceived independence of the judiciary</w:t>
      </w:r>
      <w:r w:rsidR="009F455C" w:rsidRPr="006C5289">
        <w:rPr>
          <w:sz w:val="22"/>
          <w:szCs w:val="22"/>
        </w:rPr>
        <w:t xml:space="preserve">…It is not right – unless stipulated by legislation – that a judge be placed in the position </w:t>
      </w:r>
      <w:r w:rsidR="005F2BB6" w:rsidRPr="006C5289">
        <w:rPr>
          <w:sz w:val="22"/>
          <w:szCs w:val="22"/>
        </w:rPr>
        <w:t xml:space="preserve">of having to send a party out of a courtroom, and then hand down a decision against that party </w:t>
      </w:r>
      <w:r w:rsidR="006C5289" w:rsidRPr="006C5289">
        <w:rPr>
          <w:sz w:val="22"/>
          <w:szCs w:val="22"/>
        </w:rPr>
        <w:t>based or apparently based on material not seen by that party.”</w:t>
      </w:r>
    </w:p>
    <w:p w14:paraId="1A44C099" w14:textId="0D6DF9B6" w:rsidR="003969AA" w:rsidRDefault="006C5289" w:rsidP="00184FDD">
      <w:pPr>
        <w:numPr>
          <w:ilvl w:val="2"/>
          <w:numId w:val="2"/>
        </w:numPr>
        <w:autoSpaceDE w:val="0"/>
        <w:spacing w:before="240" w:after="240"/>
        <w:jc w:val="both"/>
      </w:pPr>
      <w:r>
        <w:t>I</w:t>
      </w:r>
      <w:r w:rsidR="00217501">
        <w:t xml:space="preserve"> erred in my conclusion that a “closed </w:t>
      </w:r>
      <w:r w:rsidR="00A239AB">
        <w:t xml:space="preserve">material procedure” requires </w:t>
      </w:r>
      <w:r w:rsidR="005A2FE6">
        <w:t xml:space="preserve">legislative underpinning, as the Supreme Court’s decision in </w:t>
      </w:r>
      <w:proofErr w:type="spellStart"/>
      <w:r w:rsidR="005A2FE6">
        <w:rPr>
          <w:i/>
        </w:rPr>
        <w:t>Har</w:t>
      </w:r>
      <w:r w:rsidR="0081533C">
        <w:rPr>
          <w:i/>
        </w:rPr>
        <w:t>a</w:t>
      </w:r>
      <w:r w:rsidR="005A2FE6">
        <w:rPr>
          <w:i/>
        </w:rPr>
        <w:t>lambous</w:t>
      </w:r>
      <w:proofErr w:type="spellEnd"/>
      <w:r w:rsidR="005A2FE6">
        <w:rPr>
          <w:i/>
        </w:rPr>
        <w:t xml:space="preserve"> </w:t>
      </w:r>
      <w:r w:rsidR="005A2FE6">
        <w:t xml:space="preserve">shows, and my decision was rightly overturned by the Court of Appeal in </w:t>
      </w:r>
      <w:r w:rsidR="005A2FE6">
        <w:rPr>
          <w:i/>
        </w:rPr>
        <w:t>Concordia</w:t>
      </w:r>
      <w:r w:rsidR="003F1AC8">
        <w:t xml:space="preserve"> as a result.</w:t>
      </w:r>
      <w:r w:rsidR="005A2FE6">
        <w:t xml:space="preserve"> </w:t>
      </w:r>
      <w:r w:rsidR="00310892">
        <w:t>In highlighting this passage</w:t>
      </w:r>
      <w:r w:rsidR="003F1AC8">
        <w:t xml:space="preserve"> in his submissions before me</w:t>
      </w:r>
      <w:r w:rsidR="00310892">
        <w:t xml:space="preserve">, Mr Beer, QC – quite properly – was </w:t>
      </w:r>
      <w:r w:rsidR="00AE6526">
        <w:t xml:space="preserve">making the point that I could not </w:t>
      </w:r>
      <w:r w:rsidR="00184FDD">
        <w:t xml:space="preserve">allow </w:t>
      </w:r>
      <w:r w:rsidR="0024016D">
        <w:t xml:space="preserve">the concerns I had articulated to </w:t>
      </w:r>
      <w:r w:rsidR="00D954EF">
        <w:t xml:space="preserve">prevent the due operation of a “closed material procedure”. That is </w:t>
      </w:r>
      <w:r w:rsidR="00C6392E">
        <w:t>obviously right. I cannot</w:t>
      </w:r>
      <w:r w:rsidR="009B6C2C">
        <w:t xml:space="preserve"> </w:t>
      </w:r>
      <w:r w:rsidR="00FE1093">
        <w:t xml:space="preserve">allow the general concerns articulated in my decision at [64] to </w:t>
      </w:r>
      <w:r w:rsidR="00591378">
        <w:t xml:space="preserve">automatically outweigh the interest in protecting PII Material through </w:t>
      </w:r>
      <w:r w:rsidR="005960AE">
        <w:t>a</w:t>
      </w:r>
      <w:r w:rsidR="00591378">
        <w:t xml:space="preserve"> </w:t>
      </w:r>
      <w:r w:rsidR="003969AA">
        <w:t>“closed material procedure”.</w:t>
      </w:r>
    </w:p>
    <w:p w14:paraId="521E7E37" w14:textId="0E56542F" w:rsidR="003E79B6" w:rsidRDefault="003969AA" w:rsidP="00184FDD">
      <w:pPr>
        <w:numPr>
          <w:ilvl w:val="2"/>
          <w:numId w:val="2"/>
        </w:numPr>
        <w:autoSpaceDE w:val="0"/>
        <w:spacing w:before="240" w:after="240"/>
        <w:jc w:val="both"/>
      </w:pPr>
      <w:r>
        <w:t xml:space="preserve">However, I can properly consider the extent to which </w:t>
      </w:r>
      <w:r w:rsidR="00B11696">
        <w:t xml:space="preserve">the due administration of justice </w:t>
      </w:r>
      <w:r w:rsidR="005561D2">
        <w:t>is impaired</w:t>
      </w:r>
      <w:r w:rsidR="00231ADE">
        <w:t xml:space="preserve"> by one party having material that the other does not</w:t>
      </w:r>
      <w:r w:rsidR="005561D2">
        <w:t xml:space="preserve">. The extent will vary from case to case, depending upon </w:t>
      </w:r>
      <w:r w:rsidR="00F854D8">
        <w:t>the</w:t>
      </w:r>
      <w:r w:rsidR="003C19FD">
        <w:t xml:space="preserve"> complexity of the issues, and the importance of the PII Material to those issues.</w:t>
      </w:r>
    </w:p>
    <w:p w14:paraId="44A7747C" w14:textId="420BCB26" w:rsidR="006C5289" w:rsidRPr="00574941" w:rsidRDefault="003E79B6" w:rsidP="00184FDD">
      <w:pPr>
        <w:numPr>
          <w:ilvl w:val="2"/>
          <w:numId w:val="2"/>
        </w:numPr>
        <w:autoSpaceDE w:val="0"/>
        <w:spacing w:before="240" w:after="240"/>
        <w:jc w:val="both"/>
      </w:pPr>
      <w:r>
        <w:t>In this case, the PII Material is fairly central to considering the validity or otherwise of the Warrant, and Mr Breal</w:t>
      </w:r>
      <w:r w:rsidR="002A6BAC">
        <w:t>e</w:t>
      </w:r>
      <w:r>
        <w:t xml:space="preserve">y, QC, who acts for Concordia, will obviously be </w:t>
      </w:r>
      <w:r w:rsidR="00077EC8">
        <w:t xml:space="preserve">materially impaired in the submissions he will be able to make. That said, </w:t>
      </w:r>
      <w:r w:rsidR="000976C9">
        <w:t>Mr Brealey, QC</w:t>
      </w:r>
      <w:r w:rsidR="00077EC8">
        <w:t xml:space="preserve"> has been able to articulate – and will no doubt further articulate before the hearing on 19 December 2018 – the sort of points he would like to make and which the court should be astute to probe </w:t>
      </w:r>
      <w:r w:rsidR="00077EC8">
        <w:lastRenderedPageBreak/>
        <w:t>with the CMA.</w:t>
      </w:r>
      <w:r w:rsidR="000C7C48">
        <w:t xml:space="preserve"> Equally, I do not consider that </w:t>
      </w:r>
      <w:r w:rsidR="00BA3E59">
        <w:t xml:space="preserve">I am, in this case, impaired from probing the CMA in </w:t>
      </w:r>
      <w:r w:rsidR="007D0164">
        <w:t xml:space="preserve">relation to </w:t>
      </w:r>
      <w:r w:rsidR="00BA3E59">
        <w:t xml:space="preserve">the </w:t>
      </w:r>
      <w:r w:rsidR="00A37C33">
        <w:t xml:space="preserve">PII Redactions </w:t>
      </w:r>
      <w:r w:rsidR="00CD76FB">
        <w:t>by the fact that I am also the judge in the proceedings.</w:t>
      </w:r>
      <w:r w:rsidR="00D51737">
        <w:t xml:space="preserve"> The CMA have made it clear that they expect </w:t>
      </w:r>
      <w:r w:rsidR="007C606E">
        <w:t>such probing</w:t>
      </w:r>
      <w:r w:rsidR="00D51737">
        <w:t xml:space="preserve"> and are prepared to </w:t>
      </w:r>
      <w:r w:rsidR="00F96877">
        <w:t xml:space="preserve">provide </w:t>
      </w:r>
      <w:r w:rsidR="00254806">
        <w:t xml:space="preserve">the sort of assistance </w:t>
      </w:r>
      <w:r w:rsidR="002A6BAC">
        <w:t xml:space="preserve">to me that would </w:t>
      </w:r>
      <w:r w:rsidR="00ED7D7E">
        <w:t xml:space="preserve">normally be unnecessary because it would be </w:t>
      </w:r>
      <w:r w:rsidR="002A6BAC">
        <w:t xml:space="preserve">done by Mr Brealey, QC and his team. </w:t>
      </w:r>
      <w:r w:rsidR="00683738">
        <w:t xml:space="preserve">I </w:t>
      </w:r>
      <w:r w:rsidR="00F54686">
        <w:t xml:space="preserve">also take into account that a </w:t>
      </w:r>
      <w:r w:rsidR="00683738">
        <w:t>“closed material process”</w:t>
      </w:r>
      <w:r w:rsidR="00F54686">
        <w:t xml:space="preserve"> places upon the </w:t>
      </w:r>
      <w:r w:rsidR="00683738">
        <w:t xml:space="preserve">CMA </w:t>
      </w:r>
      <w:r w:rsidR="00E54E33">
        <w:t>the duty of full and frank disclosure that exists in</w:t>
      </w:r>
      <w:r w:rsidR="003756A0">
        <w:t xml:space="preserve"> normal</w:t>
      </w:r>
      <w:r w:rsidR="00E54E33">
        <w:t xml:space="preserve"> </w:t>
      </w:r>
      <w:r w:rsidR="00E54E33">
        <w:rPr>
          <w:i/>
        </w:rPr>
        <w:t xml:space="preserve">ex </w:t>
      </w:r>
      <w:proofErr w:type="spellStart"/>
      <w:r w:rsidR="00E54E33">
        <w:rPr>
          <w:i/>
        </w:rPr>
        <w:t>parte</w:t>
      </w:r>
      <w:proofErr w:type="spellEnd"/>
      <w:r w:rsidR="00E54E33">
        <w:t xml:space="preserve"> applications.</w:t>
      </w:r>
    </w:p>
    <w:p w14:paraId="38F084C5" w14:textId="171DD1A4" w:rsidR="007733B9" w:rsidRDefault="00E54E33" w:rsidP="00E54E33">
      <w:pPr>
        <w:numPr>
          <w:ilvl w:val="0"/>
          <w:numId w:val="2"/>
        </w:numPr>
        <w:autoSpaceDE w:val="0"/>
        <w:spacing w:before="240" w:after="240"/>
        <w:jc w:val="both"/>
      </w:pPr>
      <w:r>
        <w:t xml:space="preserve">I do not consider that there are any other material factors that weigh against </w:t>
      </w:r>
      <w:r w:rsidR="000C137B">
        <w:t>the granting of PII</w:t>
      </w:r>
      <w:r w:rsidR="003756A0">
        <w:t xml:space="preserve"> in this case</w:t>
      </w:r>
      <w:r w:rsidR="000C137B">
        <w:t xml:space="preserve">. Weighing these factors against the factors outlined in the Closed Judgment at </w:t>
      </w:r>
      <w:r w:rsidR="002E6BA8">
        <w:t>Section D</w:t>
      </w:r>
      <w:r w:rsidR="004F3F66">
        <w:t xml:space="preserve">, I conclude </w:t>
      </w:r>
      <w:r w:rsidR="002E6BA8">
        <w:t xml:space="preserve">(for the reasons that I give in Section E of the Closed Judgment) </w:t>
      </w:r>
      <w:r w:rsidR="004F3F66">
        <w:t>that:</w:t>
      </w:r>
    </w:p>
    <w:p w14:paraId="1FCF1FF6" w14:textId="11BEE77D" w:rsidR="004F3F66" w:rsidRDefault="004F3F66" w:rsidP="004F3F66">
      <w:pPr>
        <w:numPr>
          <w:ilvl w:val="1"/>
          <w:numId w:val="2"/>
        </w:numPr>
        <w:autoSpaceDE w:val="0"/>
        <w:spacing w:before="240" w:after="240"/>
        <w:jc w:val="both"/>
      </w:pPr>
      <w:r>
        <w:t xml:space="preserve">The </w:t>
      </w:r>
      <w:r w:rsidRPr="002E3348">
        <w:rPr>
          <w:u w:val="single"/>
        </w:rPr>
        <w:t xml:space="preserve">name of the deponent </w:t>
      </w:r>
      <w:r w:rsidR="00A15DA6" w:rsidRPr="002E3348">
        <w:rPr>
          <w:u w:val="single"/>
        </w:rPr>
        <w:t>and the deponent’s position within the CMA</w:t>
      </w:r>
      <w:r w:rsidR="00A15DA6">
        <w:t xml:space="preserve">, which has been redacted on PII grounds in X 1 and </w:t>
      </w:r>
      <w:r w:rsidR="003148FB">
        <w:t>the other Section 28 Application Materials</w:t>
      </w:r>
      <w:r w:rsidR="00CD0F8E">
        <w:t xml:space="preserve"> is </w:t>
      </w:r>
      <w:r w:rsidR="00CD0F8E" w:rsidRPr="006B7569">
        <w:rPr>
          <w:u w:val="single"/>
        </w:rPr>
        <w:t>not</w:t>
      </w:r>
      <w:r w:rsidR="00CD0F8E">
        <w:t xml:space="preserve"> protected by PII and should be disclosed.</w:t>
      </w:r>
    </w:p>
    <w:p w14:paraId="62301F3F" w14:textId="07B4243E" w:rsidR="00CB661C" w:rsidRPr="00D31E08" w:rsidRDefault="00D608B3" w:rsidP="006B7569">
      <w:pPr>
        <w:numPr>
          <w:ilvl w:val="1"/>
          <w:numId w:val="2"/>
        </w:numPr>
        <w:autoSpaceDE w:val="0"/>
        <w:spacing w:before="240" w:after="240"/>
        <w:jc w:val="both"/>
      </w:pPr>
      <w:r>
        <w:t>Everything else</w:t>
      </w:r>
      <w:r w:rsidR="006917B7">
        <w:t xml:space="preserve"> in the PII Redactions</w:t>
      </w:r>
      <w:r>
        <w:t xml:space="preserve">, however, </w:t>
      </w:r>
      <w:r w:rsidR="00CB6F5F">
        <w:t>is properly protected by PII and cannot be disclosed in “open” proceedings.</w:t>
      </w:r>
      <w:bookmarkEnd w:id="0"/>
    </w:p>
    <w:sectPr w:rsidR="00CB661C" w:rsidRPr="00D31E08" w:rsidSect="00C519F4">
      <w:headerReference w:type="default" r:id="rId9"/>
      <w:footerReference w:type="even" r:id="rId10"/>
      <w:footerReference w:type="default" r:id="rId11"/>
      <w:pgSz w:w="11906" w:h="16838"/>
      <w:pgMar w:top="1440" w:right="1440" w:bottom="1440" w:left="1440" w:header="708" w:footer="70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737B2C" w14:textId="77777777" w:rsidR="0060311B" w:rsidRDefault="0060311B">
      <w:r>
        <w:separator/>
      </w:r>
    </w:p>
  </w:endnote>
  <w:endnote w:type="continuationSeparator" w:id="0">
    <w:p w14:paraId="702371E0" w14:textId="77777777" w:rsidR="0060311B" w:rsidRDefault="0060311B">
      <w:r>
        <w:continuationSeparator/>
      </w:r>
    </w:p>
  </w:endnote>
  <w:endnote w:type="continuationNotice" w:id="1">
    <w:p w14:paraId="68C91D00" w14:textId="77777777" w:rsidR="0060311B" w:rsidRDefault="006031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imes">
    <w:altName w:val="Sylfaen"/>
    <w:panose1 w:val="02020603050405020304"/>
    <w:charset w:val="00"/>
    <w:family w:val="auto"/>
    <w:pitch w:val="variable"/>
    <w:sig w:usb0="E00002FF" w:usb1="5000205A"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nivers (W1)">
    <w:altName w:val="Univers"/>
    <w:panose1 w:val="00000000000000000000"/>
    <w:charset w:val="00"/>
    <w:family w:val="swiss"/>
    <w:notTrueType/>
    <w:pitch w:val="default"/>
    <w:sig w:usb0="00000003" w:usb1="00000000" w:usb2="00000000" w:usb3="00000000" w:csb0="00000001"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09815618"/>
      <w:docPartObj>
        <w:docPartGallery w:val="Page Numbers (Bottom of Page)"/>
        <w:docPartUnique/>
      </w:docPartObj>
    </w:sdtPr>
    <w:sdtEndPr>
      <w:rPr>
        <w:rStyle w:val="PageNumber"/>
      </w:rPr>
    </w:sdtEndPr>
    <w:sdtContent>
      <w:p w14:paraId="7B5EB5B8" w14:textId="77777777" w:rsidR="00C2080A" w:rsidRDefault="00C2080A" w:rsidP="00C2080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B6E468E" w14:textId="77777777" w:rsidR="00C2080A" w:rsidRDefault="00C2080A" w:rsidP="00C2080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imes New Roman" w:hAnsi="Times New Roman"/>
        <w:sz w:val="22"/>
        <w:szCs w:val="22"/>
      </w:rPr>
      <w:id w:val="-909535749"/>
      <w:docPartObj>
        <w:docPartGallery w:val="Page Numbers (Bottom of Page)"/>
        <w:docPartUnique/>
      </w:docPartObj>
    </w:sdtPr>
    <w:sdtEndPr>
      <w:rPr>
        <w:rStyle w:val="PageNumber"/>
      </w:rPr>
    </w:sdtEndPr>
    <w:sdtContent>
      <w:p w14:paraId="1AF5D1ED" w14:textId="579FEC41" w:rsidR="00C2080A" w:rsidRPr="00C2080A" w:rsidRDefault="00C2080A" w:rsidP="00C2080A">
        <w:pPr>
          <w:pStyle w:val="Footer"/>
          <w:framePr w:wrap="none" w:vAnchor="text" w:hAnchor="margin" w:xAlign="center" w:y="1"/>
          <w:rPr>
            <w:rStyle w:val="PageNumber"/>
            <w:rFonts w:ascii="Times New Roman" w:hAnsi="Times New Roman"/>
            <w:sz w:val="22"/>
            <w:szCs w:val="22"/>
          </w:rPr>
        </w:pPr>
        <w:r w:rsidRPr="00C2080A">
          <w:rPr>
            <w:rStyle w:val="PageNumber"/>
            <w:rFonts w:ascii="Times New Roman" w:hAnsi="Times New Roman"/>
            <w:sz w:val="22"/>
            <w:szCs w:val="22"/>
          </w:rPr>
          <w:fldChar w:fldCharType="begin"/>
        </w:r>
        <w:r w:rsidRPr="00C2080A">
          <w:rPr>
            <w:rStyle w:val="PageNumber"/>
            <w:rFonts w:ascii="Times New Roman" w:hAnsi="Times New Roman"/>
            <w:sz w:val="22"/>
            <w:szCs w:val="22"/>
          </w:rPr>
          <w:instrText xml:space="preserve"> PAGE </w:instrText>
        </w:r>
        <w:r w:rsidRPr="00C2080A">
          <w:rPr>
            <w:rStyle w:val="PageNumber"/>
            <w:rFonts w:ascii="Times New Roman" w:hAnsi="Times New Roman"/>
            <w:sz w:val="22"/>
            <w:szCs w:val="22"/>
          </w:rPr>
          <w:fldChar w:fldCharType="separate"/>
        </w:r>
        <w:r w:rsidR="005B4B1D">
          <w:rPr>
            <w:rStyle w:val="PageNumber"/>
            <w:rFonts w:ascii="Times New Roman" w:hAnsi="Times New Roman"/>
            <w:noProof/>
            <w:sz w:val="22"/>
            <w:szCs w:val="22"/>
          </w:rPr>
          <w:t>2</w:t>
        </w:r>
        <w:r w:rsidRPr="00C2080A">
          <w:rPr>
            <w:rStyle w:val="PageNumber"/>
            <w:rFonts w:ascii="Times New Roman" w:hAnsi="Times New Roman"/>
            <w:sz w:val="22"/>
            <w:szCs w:val="22"/>
          </w:rPr>
          <w:fldChar w:fldCharType="end"/>
        </w:r>
      </w:p>
    </w:sdtContent>
  </w:sdt>
  <w:p w14:paraId="63832519" w14:textId="77777777" w:rsidR="00C2080A" w:rsidRDefault="00C2080A" w:rsidP="00C2080A">
    <w:pPr>
      <w:pStyle w:val="Footer"/>
      <w:ind w:right="360"/>
      <w:jc w:val="center"/>
      <w:rPr>
        <w:rFonts w:ascii="Times New Roman" w:hAnsi="Times New Roman"/>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4FDBFE" w14:textId="77777777" w:rsidR="0060311B" w:rsidRDefault="0060311B">
      <w:r>
        <w:rPr>
          <w:color w:val="000000"/>
        </w:rPr>
        <w:separator/>
      </w:r>
    </w:p>
  </w:footnote>
  <w:footnote w:type="continuationSeparator" w:id="0">
    <w:p w14:paraId="4FC9031A" w14:textId="77777777" w:rsidR="0060311B" w:rsidRDefault="0060311B">
      <w:r>
        <w:continuationSeparator/>
      </w:r>
    </w:p>
  </w:footnote>
  <w:footnote w:type="continuationNotice" w:id="1">
    <w:p w14:paraId="37CAA696" w14:textId="77777777" w:rsidR="0060311B" w:rsidRDefault="0060311B"/>
  </w:footnote>
  <w:footnote w:id="2">
    <w:p w14:paraId="2915DAB5" w14:textId="5A39158F" w:rsidR="00B87569" w:rsidRPr="00466610" w:rsidRDefault="00B87569" w:rsidP="006B7569">
      <w:pPr>
        <w:pStyle w:val="FootnoteText"/>
        <w:spacing w:before="40" w:after="40"/>
        <w:jc w:val="both"/>
      </w:pPr>
      <w:r>
        <w:rPr>
          <w:rStyle w:val="FootnoteReference"/>
        </w:rPr>
        <w:footnoteRef/>
      </w:r>
      <w:r>
        <w:t xml:space="preserve"> The reason for the delay between the issuing of the application on 10 October 2017 and the intended hearing of that application on 1</w:t>
      </w:r>
      <w:r w:rsidR="006A7ABC">
        <w:t>9</w:t>
      </w:r>
      <w:r>
        <w:t xml:space="preserve"> December 2018 was the appeal of my decision at [2017] EWHC 2911 (Ch) to the Court of Appeal. That appeal could not be heard – although expedit</w:t>
      </w:r>
      <w:r w:rsidR="00466610">
        <w:t xml:space="preserve">ed – until the Supreme Court’s decision in </w:t>
      </w:r>
      <w:proofErr w:type="spellStart"/>
      <w:r w:rsidR="00466610">
        <w:rPr>
          <w:i/>
        </w:rPr>
        <w:t>Har</w:t>
      </w:r>
      <w:r w:rsidR="0081533C">
        <w:rPr>
          <w:i/>
        </w:rPr>
        <w:t>a</w:t>
      </w:r>
      <w:r w:rsidR="00466610">
        <w:rPr>
          <w:i/>
        </w:rPr>
        <w:t>lambous</w:t>
      </w:r>
      <w:proofErr w:type="spellEnd"/>
      <w:r w:rsidR="00466610">
        <w:rPr>
          <w:i/>
        </w:rPr>
        <w:t xml:space="preserve"> </w:t>
      </w:r>
      <w:r w:rsidR="00466610">
        <w:t>was handed down.</w:t>
      </w:r>
    </w:p>
  </w:footnote>
  <w:footnote w:id="3">
    <w:p w14:paraId="674E8DF5" w14:textId="41B2F30E" w:rsidR="005A1611" w:rsidRPr="004D444D" w:rsidRDefault="005A1611" w:rsidP="006B7569">
      <w:pPr>
        <w:pStyle w:val="FootnoteText"/>
        <w:spacing w:before="40" w:after="40"/>
        <w:jc w:val="both"/>
      </w:pPr>
      <w:r>
        <w:rPr>
          <w:rStyle w:val="FootnoteReference"/>
        </w:rPr>
        <w:footnoteRef/>
      </w:r>
      <w:r>
        <w:t xml:space="preserve"> </w:t>
      </w:r>
      <w:r w:rsidR="00EF38BA">
        <w:t xml:space="preserve">Thus, </w:t>
      </w:r>
      <w:proofErr w:type="spellStart"/>
      <w:r w:rsidR="00EF38BA">
        <w:rPr>
          <w:i/>
        </w:rPr>
        <w:t>Har</w:t>
      </w:r>
      <w:r w:rsidR="0081533C">
        <w:rPr>
          <w:i/>
        </w:rPr>
        <w:t>a</w:t>
      </w:r>
      <w:r w:rsidR="00EF38BA">
        <w:rPr>
          <w:i/>
        </w:rPr>
        <w:t>lambous</w:t>
      </w:r>
      <w:proofErr w:type="spellEnd"/>
      <w:r w:rsidR="00EF38BA">
        <w:rPr>
          <w:i/>
        </w:rPr>
        <w:t xml:space="preserve"> </w:t>
      </w:r>
      <w:r w:rsidR="00EF38BA">
        <w:t xml:space="preserve">has </w:t>
      </w:r>
      <w:r w:rsidR="00C72628">
        <w:t xml:space="preserve">succeeded in </w:t>
      </w:r>
      <w:r w:rsidR="00EF38BA">
        <w:t>creat</w:t>
      </w:r>
      <w:r w:rsidR="00C72628">
        <w:t>ing</w:t>
      </w:r>
      <w:r w:rsidR="0011302F">
        <w:t>,</w:t>
      </w:r>
      <w:r w:rsidR="00EF38BA">
        <w:t xml:space="preserve"> through the common law</w:t>
      </w:r>
      <w:r w:rsidR="0011302F">
        <w:t>,</w:t>
      </w:r>
      <w:r w:rsidR="00EF38BA">
        <w:t xml:space="preserve"> a procedure </w:t>
      </w:r>
      <w:r w:rsidR="00B56B53">
        <w:t xml:space="preserve">similar to the </w:t>
      </w:r>
      <w:r w:rsidR="0056241F">
        <w:t xml:space="preserve">statutory </w:t>
      </w:r>
      <w:r w:rsidR="00B56B53">
        <w:t xml:space="preserve">procedures protecting </w:t>
      </w:r>
      <w:r w:rsidR="0011302F">
        <w:t xml:space="preserve">material the disclosure of which would be damaging to the interests of national </w:t>
      </w:r>
      <w:r w:rsidR="0056241F">
        <w:t>security</w:t>
      </w:r>
      <w:r w:rsidR="00C72628">
        <w:t xml:space="preserve">. These procedures are </w:t>
      </w:r>
      <w:r w:rsidR="003662D6">
        <w:t xml:space="preserve">provided for </w:t>
      </w:r>
      <w:r w:rsidR="0056241F">
        <w:t xml:space="preserve">in </w:t>
      </w:r>
      <w:r w:rsidR="004D444D">
        <w:t>sections 6</w:t>
      </w:r>
      <w:r w:rsidR="004D444D">
        <w:rPr>
          <w:i/>
        </w:rPr>
        <w:t>ff</w:t>
      </w:r>
      <w:r w:rsidR="004D444D">
        <w:t xml:space="preserve"> of the Justice and Security Act 2013 and CPR Part 82.</w:t>
      </w:r>
    </w:p>
  </w:footnote>
  <w:footnote w:id="4">
    <w:p w14:paraId="322C9326" w14:textId="65115247" w:rsidR="00177745" w:rsidRDefault="00177745" w:rsidP="006B7569">
      <w:pPr>
        <w:pStyle w:val="FootnoteText"/>
        <w:spacing w:before="40" w:after="40"/>
        <w:jc w:val="both"/>
      </w:pPr>
      <w:r>
        <w:rPr>
          <w:rStyle w:val="FootnoteReference"/>
        </w:rPr>
        <w:footnoteRef/>
      </w:r>
      <w:r>
        <w:t xml:space="preserve"> The CMA did not oppose the making of this order</w:t>
      </w:r>
      <w:r w:rsidR="00D566D7">
        <w:t>.</w:t>
      </w:r>
      <w:r w:rsidR="00A25A01">
        <w:t xml:space="preserve"> The process that has been followed </w:t>
      </w:r>
      <w:r w:rsidR="00AE7598">
        <w:t xml:space="preserve">tracks CPR </w:t>
      </w:r>
      <w:r w:rsidR="00D1322B">
        <w:t xml:space="preserve">Part </w:t>
      </w:r>
      <w:r w:rsidR="00AE7598">
        <w:t xml:space="preserve">31.19, but (in this case) there was no list of documents, given the nature of the hearing before Mann J. </w:t>
      </w:r>
      <w:r w:rsidR="001669E1">
        <w:t xml:space="preserve">It was therefore necessary </w:t>
      </w:r>
      <w:r w:rsidR="00D1322B">
        <w:t xml:space="preserve">– </w:t>
      </w:r>
      <w:r w:rsidR="001669E1">
        <w:t xml:space="preserve">in order to understand the issues between the parties – for </w:t>
      </w:r>
      <w:r w:rsidR="00701B9D">
        <w:t>the Section 28 Application Materials to be disclosed to the extent this could be done consistent</w:t>
      </w:r>
      <w:r w:rsidR="00CC2FC5">
        <w:t>ly</w:t>
      </w:r>
      <w:r w:rsidR="00701B9D">
        <w:t xml:space="preserve"> with the public interest.</w:t>
      </w:r>
    </w:p>
  </w:footnote>
  <w:footnote w:id="5">
    <w:p w14:paraId="075E25D9" w14:textId="7017D75D" w:rsidR="00983FA0" w:rsidRPr="007A49B8" w:rsidRDefault="00983FA0" w:rsidP="006B7569">
      <w:pPr>
        <w:pStyle w:val="FootnoteText"/>
        <w:spacing w:before="40" w:after="40"/>
        <w:jc w:val="both"/>
      </w:pPr>
      <w:r>
        <w:rPr>
          <w:rStyle w:val="FootnoteReference"/>
        </w:rPr>
        <w:footnoteRef/>
      </w:r>
      <w:r>
        <w:t xml:space="preserve"> See </w:t>
      </w:r>
      <w:r>
        <w:rPr>
          <w:i/>
        </w:rPr>
        <w:t xml:space="preserve">R v Davis </w:t>
      </w:r>
      <w:r>
        <w:t>[1993] 1 WLR 613 at 617 (</w:t>
      </w:r>
      <w:r w:rsidR="005F66A6">
        <w:rPr>
          <w:i/>
        </w:rPr>
        <w:t>per</w:t>
      </w:r>
      <w:r w:rsidR="005F66A6">
        <w:t xml:space="preserve"> Lord Taylor CJ)</w:t>
      </w:r>
      <w:r w:rsidR="00894724">
        <w:t xml:space="preserve">; </w:t>
      </w:r>
      <w:r w:rsidR="00894724">
        <w:rPr>
          <w:i/>
        </w:rPr>
        <w:t>R v. H</w:t>
      </w:r>
      <w:r w:rsidR="00894724">
        <w:t xml:space="preserve"> [2004]</w:t>
      </w:r>
      <w:r w:rsidR="007A49B8">
        <w:t xml:space="preserve"> UKHL at [20] (</w:t>
      </w:r>
      <w:r w:rsidR="007A49B8">
        <w:rPr>
          <w:i/>
        </w:rPr>
        <w:t xml:space="preserve">per </w:t>
      </w:r>
      <w:r w:rsidR="007A49B8">
        <w:t>Lord Bingham).</w:t>
      </w:r>
    </w:p>
  </w:footnote>
  <w:footnote w:id="6">
    <w:p w14:paraId="43662F5A" w14:textId="552B746A" w:rsidR="00374BF2" w:rsidRPr="00493E5E" w:rsidRDefault="00374BF2" w:rsidP="006B7569">
      <w:pPr>
        <w:pStyle w:val="FootnoteText"/>
        <w:spacing w:before="40" w:after="40"/>
        <w:jc w:val="both"/>
      </w:pPr>
      <w:r>
        <w:rPr>
          <w:rStyle w:val="FootnoteReference"/>
        </w:rPr>
        <w:footnoteRef/>
      </w:r>
      <w:r>
        <w:t xml:space="preserve"> This sort of scrutiny is very important in </w:t>
      </w:r>
      <w:r w:rsidR="003C721F">
        <w:t xml:space="preserve">reaching properly founded decisions. See, for example, the research described in </w:t>
      </w:r>
      <w:r w:rsidR="00493E5E">
        <w:t xml:space="preserve">Haidt, </w:t>
      </w:r>
      <w:r w:rsidR="00493E5E">
        <w:rPr>
          <w:i/>
        </w:rPr>
        <w:t>The Righteous Mind</w:t>
      </w:r>
      <w:r w:rsidR="00493E5E">
        <w:t xml:space="preserve">, </w:t>
      </w:r>
      <w:r w:rsidR="00F93C6A">
        <w:t>1</w:t>
      </w:r>
      <w:r w:rsidR="00F93C6A" w:rsidRPr="00F93C6A">
        <w:rPr>
          <w:vertAlign w:val="superscript"/>
        </w:rPr>
        <w:t>st</w:t>
      </w:r>
      <w:r w:rsidR="00F93C6A">
        <w:t xml:space="preserve"> ed (2012) at 75-76.</w:t>
      </w:r>
    </w:p>
  </w:footnote>
  <w:footnote w:id="7">
    <w:p w14:paraId="3FE9DD40" w14:textId="5CAAAB45" w:rsidR="00B7465C" w:rsidRPr="00B7465C" w:rsidRDefault="00B7465C" w:rsidP="006B7569">
      <w:pPr>
        <w:pStyle w:val="FootnoteText"/>
        <w:spacing w:before="40" w:after="40"/>
        <w:jc w:val="both"/>
      </w:pPr>
      <w:r>
        <w:rPr>
          <w:rStyle w:val="FootnoteReference"/>
        </w:rPr>
        <w:footnoteRef/>
      </w:r>
      <w:r>
        <w:t xml:space="preserve"> Hollander, </w:t>
      </w:r>
      <w:r>
        <w:rPr>
          <w:i/>
        </w:rPr>
        <w:t>Documentary Evidence</w:t>
      </w:r>
      <w:r>
        <w:t>, 13</w:t>
      </w:r>
      <w:r w:rsidRPr="00B7465C">
        <w:rPr>
          <w:vertAlign w:val="superscript"/>
        </w:rPr>
        <w:t>th</w:t>
      </w:r>
      <w:r>
        <w:t xml:space="preserve"> ed (2018)</w:t>
      </w:r>
      <w:r w:rsidR="003E099D">
        <w:t xml:space="preserve"> (“</w:t>
      </w:r>
      <w:r w:rsidR="003E099D">
        <w:rPr>
          <w:i/>
        </w:rPr>
        <w:t>Hollander</w:t>
      </w:r>
      <w:r w:rsidR="003E099D">
        <w:t>”)</w:t>
      </w:r>
      <w:r w:rsidR="00933E20">
        <w:t xml:space="preserve"> at [22-09].</w:t>
      </w:r>
    </w:p>
  </w:footnote>
  <w:footnote w:id="8">
    <w:p w14:paraId="7300058F" w14:textId="692C4E73" w:rsidR="0055079D" w:rsidRDefault="00802079" w:rsidP="006B7569">
      <w:pPr>
        <w:pStyle w:val="FootnoteText"/>
        <w:spacing w:before="40" w:after="40"/>
        <w:jc w:val="both"/>
      </w:pPr>
      <w:r>
        <w:rPr>
          <w:rStyle w:val="FootnoteReference"/>
        </w:rPr>
        <w:footnoteRef/>
      </w:r>
      <w:r>
        <w:t xml:space="preserve"> </w:t>
      </w:r>
      <w:r w:rsidR="00FC60AD">
        <w:t xml:space="preserve">[1968] </w:t>
      </w:r>
      <w:r w:rsidR="00196B76">
        <w:t>1 AC 910 at 988.</w:t>
      </w:r>
      <w:r w:rsidR="000F47C6">
        <w:t xml:space="preserve"> </w:t>
      </w:r>
    </w:p>
  </w:footnote>
  <w:footnote w:id="9">
    <w:p w14:paraId="42CC8F4B" w14:textId="08F3B71D" w:rsidR="003E099D" w:rsidRPr="00196584" w:rsidRDefault="003E099D" w:rsidP="006B7569">
      <w:pPr>
        <w:pStyle w:val="FootnoteText"/>
        <w:spacing w:before="40" w:after="40"/>
        <w:jc w:val="both"/>
      </w:pPr>
      <w:r>
        <w:rPr>
          <w:rStyle w:val="FootnoteReference"/>
        </w:rPr>
        <w:footnoteRef/>
      </w:r>
      <w:r>
        <w:t xml:space="preserve"> </w:t>
      </w:r>
      <w:r w:rsidR="008C416A">
        <w:t>At [22-09].</w:t>
      </w:r>
      <w:r w:rsidR="00DC483E">
        <w:t xml:space="preserve"> </w:t>
      </w:r>
      <w:r w:rsidR="00DC483E">
        <w:rPr>
          <w:i/>
        </w:rPr>
        <w:t xml:space="preserve">Hollander </w:t>
      </w:r>
      <w:r w:rsidR="00DC483E">
        <w:t xml:space="preserve">cites </w:t>
      </w:r>
      <w:r w:rsidR="00C33EAC">
        <w:rPr>
          <w:i/>
        </w:rPr>
        <w:t xml:space="preserve">Science Research Council v. </w:t>
      </w:r>
      <w:proofErr w:type="spellStart"/>
      <w:r w:rsidR="00C33EAC">
        <w:rPr>
          <w:i/>
        </w:rPr>
        <w:t>Nass</w:t>
      </w:r>
      <w:r w:rsidR="00F51DA3">
        <w:rPr>
          <w:i/>
        </w:rPr>
        <w:t>é</w:t>
      </w:r>
      <w:proofErr w:type="spellEnd"/>
      <w:r w:rsidR="00F51DA3">
        <w:rPr>
          <w:i/>
        </w:rPr>
        <w:t xml:space="preserve"> </w:t>
      </w:r>
      <w:r w:rsidR="00F51DA3">
        <w:t xml:space="preserve">[1980] </w:t>
      </w:r>
      <w:r w:rsidR="00AC2003">
        <w:t>AC 1028 at 1077 (</w:t>
      </w:r>
      <w:r w:rsidR="00AC2003">
        <w:rPr>
          <w:i/>
        </w:rPr>
        <w:t>per</w:t>
      </w:r>
      <w:r w:rsidR="00AC2003">
        <w:t xml:space="preserve"> Lord Edmund Davies, citing Lord Denning MR</w:t>
      </w:r>
      <w:r w:rsidR="00196584">
        <w:t xml:space="preserve"> at [1979] 1 QB 144 at 173). However, </w:t>
      </w:r>
      <w:proofErr w:type="spellStart"/>
      <w:r w:rsidR="00196584">
        <w:rPr>
          <w:i/>
        </w:rPr>
        <w:t>Nassé</w:t>
      </w:r>
      <w:proofErr w:type="spellEnd"/>
      <w:r w:rsidR="00196584">
        <w:t xml:space="preserve"> was </w:t>
      </w:r>
      <w:r w:rsidR="00196584">
        <w:rPr>
          <w:u w:val="single"/>
        </w:rPr>
        <w:t>not</w:t>
      </w:r>
      <w:r w:rsidR="00196584">
        <w:t xml:space="preserve"> a PII case</w:t>
      </w:r>
      <w:r w:rsidR="009C760F">
        <w:t xml:space="preserve">, and </w:t>
      </w:r>
      <w:r w:rsidR="00261F48">
        <w:t>is of limited assistance here.</w:t>
      </w:r>
    </w:p>
  </w:footnote>
  <w:footnote w:id="10">
    <w:p w14:paraId="1FDA74C1" w14:textId="2C2021B3" w:rsidR="00837469" w:rsidRPr="006A1ADD" w:rsidRDefault="00837469" w:rsidP="006B7569">
      <w:pPr>
        <w:pStyle w:val="FootnoteText"/>
        <w:spacing w:before="40" w:after="40"/>
        <w:jc w:val="both"/>
      </w:pPr>
      <w:r>
        <w:rPr>
          <w:rStyle w:val="FootnoteReference"/>
        </w:rPr>
        <w:footnoteRef/>
      </w:r>
      <w:r>
        <w:t xml:space="preserve"> </w:t>
      </w:r>
      <w:r w:rsidR="006A1ADD">
        <w:rPr>
          <w:i/>
        </w:rPr>
        <w:t xml:space="preserve">Concordia </w:t>
      </w:r>
      <w:r w:rsidR="006A1ADD">
        <w:t>at [39].</w:t>
      </w:r>
    </w:p>
  </w:footnote>
  <w:footnote w:id="11">
    <w:p w14:paraId="72EB9D09" w14:textId="0B90A12B" w:rsidR="00244370" w:rsidRPr="00244370" w:rsidRDefault="00244370" w:rsidP="006B7569">
      <w:pPr>
        <w:pStyle w:val="FootnoteText"/>
        <w:spacing w:before="40" w:after="40"/>
        <w:jc w:val="both"/>
      </w:pPr>
      <w:r>
        <w:rPr>
          <w:rStyle w:val="FootnoteReference"/>
        </w:rPr>
        <w:footnoteRef/>
      </w:r>
      <w:r>
        <w:t xml:space="preserve"> </w:t>
      </w:r>
      <w:r>
        <w:rPr>
          <w:i/>
        </w:rPr>
        <w:t xml:space="preserve">Concordia </w:t>
      </w:r>
      <w:r>
        <w:t>at [71].</w:t>
      </w:r>
    </w:p>
  </w:footnote>
  <w:footnote w:id="12">
    <w:p w14:paraId="06478849" w14:textId="745373C0" w:rsidR="0024150B" w:rsidRPr="004D673D" w:rsidRDefault="0024150B" w:rsidP="006B7569">
      <w:pPr>
        <w:pStyle w:val="FootnoteText"/>
        <w:spacing w:before="40" w:after="40"/>
        <w:jc w:val="both"/>
      </w:pPr>
      <w:r>
        <w:rPr>
          <w:rStyle w:val="FootnoteReference"/>
        </w:rPr>
        <w:footnoteRef/>
      </w:r>
      <w:r>
        <w:t xml:space="preserve"> Thus, in </w:t>
      </w:r>
      <w:r w:rsidR="002D72EA">
        <w:t xml:space="preserve">the unreported case of </w:t>
      </w:r>
      <w:r w:rsidR="002D72EA">
        <w:rPr>
          <w:i/>
        </w:rPr>
        <w:t>Powell v. Chief Constable of North Wales Constabulary</w:t>
      </w:r>
      <w:r w:rsidR="00CA1ED7">
        <w:t xml:space="preserve"> (Court of Appeal, 16 December 1999), the judge at first instance found that material in a civil case </w:t>
      </w:r>
      <w:r w:rsidR="004D673D">
        <w:t xml:space="preserve">was protected by PII, but </w:t>
      </w:r>
      <w:r w:rsidR="00B564CE">
        <w:t xml:space="preserve">he </w:t>
      </w:r>
      <w:r w:rsidR="004D673D">
        <w:t xml:space="preserve">devised a procedure whereby the PII </w:t>
      </w:r>
      <w:r w:rsidR="00E91AD3">
        <w:t>M</w:t>
      </w:r>
      <w:r w:rsidR="004D673D">
        <w:t xml:space="preserve">aterial </w:t>
      </w:r>
      <w:r w:rsidR="00FC0F7A">
        <w:t>c</w:t>
      </w:r>
      <w:r w:rsidR="004D673D">
        <w:t xml:space="preserve">ould be used </w:t>
      </w:r>
      <w:r w:rsidR="004D673D">
        <w:rPr>
          <w:i/>
        </w:rPr>
        <w:t>in camera</w:t>
      </w:r>
      <w:r w:rsidR="004D673D">
        <w:t xml:space="preserve">. </w:t>
      </w:r>
      <w:r w:rsidR="00771348">
        <w:t xml:space="preserve">Although </w:t>
      </w:r>
      <w:proofErr w:type="spellStart"/>
      <w:r w:rsidR="00FB30F0">
        <w:t>Schiemann</w:t>
      </w:r>
      <w:proofErr w:type="spellEnd"/>
      <w:r w:rsidR="00FB30F0">
        <w:t xml:space="preserve"> LJ rejected </w:t>
      </w:r>
      <w:r w:rsidR="002D095D">
        <w:t xml:space="preserve">this procedure and allowed the appeal on the grounds that it did not sufficiently protect the PII </w:t>
      </w:r>
      <w:r w:rsidR="00E91AD3">
        <w:t>M</w:t>
      </w:r>
      <w:r w:rsidR="002D095D">
        <w:t>aterial</w:t>
      </w:r>
      <w:r w:rsidR="00855511">
        <w:t xml:space="preserve"> </w:t>
      </w:r>
      <w:r w:rsidR="00B564CE">
        <w:t>in question</w:t>
      </w:r>
      <w:r w:rsidR="00855511">
        <w:t xml:space="preserve">, </w:t>
      </w:r>
      <w:proofErr w:type="spellStart"/>
      <w:r w:rsidR="00855511">
        <w:t>Roch</w:t>
      </w:r>
      <w:proofErr w:type="spellEnd"/>
      <w:r w:rsidR="00855511">
        <w:t xml:space="preserve"> and Beldam LJJ concluded that </w:t>
      </w:r>
      <w:r w:rsidR="00340933">
        <w:t xml:space="preserve">“the judge has no residual discretion once he has determined that evidence concerning </w:t>
      </w:r>
      <w:r w:rsidR="00C0170B">
        <w:t>the informant should not be disclosed”.</w:t>
      </w:r>
      <w:r w:rsidR="00550B4C">
        <w:t xml:space="preserve"> In short, on</w:t>
      </w:r>
      <w:r w:rsidR="00B564CE">
        <w:t>c</w:t>
      </w:r>
      <w:r w:rsidR="00550B4C">
        <w:t xml:space="preserve">e PII </w:t>
      </w:r>
      <w:r w:rsidR="00B564CE" w:rsidRPr="00E91AD3">
        <w:rPr>
          <w:u w:val="single"/>
        </w:rPr>
        <w:t>had</w:t>
      </w:r>
      <w:r w:rsidR="00B564CE">
        <w:t xml:space="preserve"> been</w:t>
      </w:r>
      <w:r w:rsidR="00550B4C">
        <w:t xml:space="preserve"> found to exist, the material had to be withheld from the </w:t>
      </w:r>
      <w:r w:rsidR="00373363">
        <w:t xml:space="preserve">court process. </w:t>
      </w:r>
    </w:p>
  </w:footnote>
  <w:footnote w:id="13">
    <w:p w14:paraId="3DE0F7E8" w14:textId="0B07E76B" w:rsidR="00BC69F5" w:rsidRPr="00BC69F5" w:rsidRDefault="00BC69F5" w:rsidP="006B7569">
      <w:pPr>
        <w:pStyle w:val="FootnoteText"/>
        <w:spacing w:before="40" w:after="40"/>
        <w:jc w:val="both"/>
      </w:pPr>
      <w:r>
        <w:rPr>
          <w:rStyle w:val="FootnoteReference"/>
        </w:rPr>
        <w:footnoteRef/>
      </w:r>
      <w:r>
        <w:t xml:space="preserve"> </w:t>
      </w:r>
      <w:r>
        <w:rPr>
          <w:i/>
        </w:rPr>
        <w:t>Bangs</w:t>
      </w:r>
      <w:r>
        <w:t xml:space="preserve"> </w:t>
      </w:r>
      <w:r w:rsidR="00FA0E7C">
        <w:t>involve</w:t>
      </w:r>
      <w:r w:rsidR="009C760F">
        <w:t>d</w:t>
      </w:r>
      <w:r w:rsidR="00FA0E7C">
        <w:t xml:space="preserve"> the serious infringement of the liberty of the citizen, in that Ms Bangs</w:t>
      </w:r>
      <w:r w:rsidR="001F0C0C">
        <w:t xml:space="preserve"> was restrained in handcuffs and subjected to an intimate search. Nevertheless, the Court of Appeal made the point that this was less serious than </w:t>
      </w:r>
      <w:r w:rsidR="000D169E">
        <w:t xml:space="preserve">a case where </w:t>
      </w:r>
      <w:r w:rsidR="003C39A6">
        <w:t>the liberty of the subject was at stake in a criminal trial.</w:t>
      </w:r>
    </w:p>
  </w:footnote>
  <w:footnote w:id="14">
    <w:p w14:paraId="755DE599" w14:textId="2A86FF67" w:rsidR="00090B45" w:rsidRDefault="00090B45" w:rsidP="006B7569">
      <w:pPr>
        <w:pStyle w:val="FootnoteText"/>
        <w:spacing w:before="40" w:after="40"/>
        <w:jc w:val="both"/>
      </w:pPr>
      <w:r>
        <w:rPr>
          <w:rStyle w:val="FootnoteReference"/>
        </w:rPr>
        <w:footnoteRef/>
      </w:r>
      <w:r>
        <w:t xml:space="preserve"> The fact that, in relation to some of the relevant products, the CMA has concluded its investigations without taking further action is nothing to the point. The point is whether </w:t>
      </w:r>
      <w:r w:rsidR="00A63762">
        <w:t>the Warrant was properly granted in the first place</w:t>
      </w:r>
      <w:r w:rsidR="00D13F80">
        <w:t xml:space="preserve">: so far as all relevant products apart from </w:t>
      </w:r>
      <w:proofErr w:type="spellStart"/>
      <w:r w:rsidR="00D13F80">
        <w:t>Carbimazole</w:t>
      </w:r>
      <w:proofErr w:type="spellEnd"/>
      <w:r w:rsidR="00D13F80">
        <w:t xml:space="preserve"> and Hydrocorti</w:t>
      </w:r>
      <w:r w:rsidR="00006655">
        <w:t>s</w:t>
      </w:r>
      <w:r w:rsidR="00D13F80">
        <w:t>one are concerned, that is the case.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B78D1" w14:textId="7EFFE017" w:rsidR="00C11C01" w:rsidRPr="00C11C01" w:rsidRDefault="00C11C01">
    <w:pPr>
      <w:pStyle w:val="Header"/>
      <w:rPr>
        <w:b/>
        <w:sz w:val="16"/>
        <w:szCs w:val="16"/>
      </w:rPr>
    </w:pPr>
    <w:r w:rsidRPr="00C11C01">
      <w:rPr>
        <w:b/>
        <w:sz w:val="16"/>
        <w:szCs w:val="16"/>
      </w:rPr>
      <w:t>Approved judgment handed down by the court</w:t>
    </w:r>
    <w:r w:rsidRPr="00C11C01">
      <w:rPr>
        <w:b/>
        <w:sz w:val="16"/>
        <w:szCs w:val="16"/>
      </w:rPr>
      <w:tab/>
    </w:r>
    <w:r w:rsidRPr="00C11C01">
      <w:rPr>
        <w:b/>
        <w:sz w:val="16"/>
        <w:szCs w:val="16"/>
      </w:rPr>
      <w:tab/>
      <w:t xml:space="preserve">             CMA v. Concordia</w:t>
    </w:r>
  </w:p>
  <w:p w14:paraId="3944C778" w14:textId="66D4D142" w:rsidR="00C11C01" w:rsidRPr="00C11C01" w:rsidRDefault="00C11C01">
    <w:pPr>
      <w:pStyle w:val="Header"/>
      <w:rPr>
        <w:b/>
        <w:sz w:val="16"/>
        <w:szCs w:val="16"/>
      </w:rPr>
    </w:pPr>
    <w:r w:rsidRPr="00C11C01">
      <w:rPr>
        <w:b/>
        <w:sz w:val="16"/>
        <w:szCs w:val="16"/>
      </w:rPr>
      <w:t>Mr. Justice Marcus Smith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6C4993"/>
    <w:multiLevelType w:val="multilevel"/>
    <w:tmpl w:val="8F9AADEE"/>
    <w:lvl w:ilvl="0">
      <w:start w:val="1"/>
      <w:numFmt w:val="decimal"/>
      <w:lvlText w:val="%1."/>
      <w:lvlJc w:val="left"/>
      <w:pPr>
        <w:ind w:left="567" w:hanging="567"/>
      </w:pPr>
      <w:rPr>
        <w:rFonts w:ascii="Arial" w:hAnsi="Arial" w:cs="Univers"/>
        <w:b/>
        <w:i w:val="0"/>
        <w:spacing w:val="0"/>
        <w:sz w:val="16"/>
        <w:szCs w:val="18"/>
      </w:rPr>
    </w:lvl>
    <w:lvl w:ilvl="1">
      <w:start w:val="1"/>
      <w:numFmt w:val="decimal"/>
      <w:lvlText w:val="(%2)"/>
      <w:lvlJc w:val="left"/>
      <w:pPr>
        <w:ind w:left="1134" w:hanging="567"/>
      </w:pPr>
      <w:rPr>
        <w:rFonts w:ascii="Arial" w:hAnsi="Arial" w:cs="Univers"/>
        <w:b/>
        <w:i w:val="0"/>
        <w:spacing w:val="0"/>
        <w:sz w:val="16"/>
        <w:szCs w:val="18"/>
      </w:rPr>
    </w:lvl>
    <w:lvl w:ilvl="2">
      <w:start w:val="1"/>
      <w:numFmt w:val="lowerLetter"/>
      <w:lvlText w:val="(%3)"/>
      <w:lvlJc w:val="left"/>
      <w:pPr>
        <w:ind w:left="1814" w:hanging="680"/>
      </w:pPr>
      <w:rPr>
        <w:rFonts w:ascii="Arial" w:hAnsi="Arial" w:cs="Times New Roman"/>
        <w:b/>
        <w:i w:val="0"/>
        <w:spacing w:val="0"/>
        <w:sz w:val="16"/>
        <w:szCs w:val="18"/>
      </w:rPr>
    </w:lvl>
    <w:lvl w:ilvl="3">
      <w:start w:val="1"/>
      <w:numFmt w:val="lowerLetter"/>
      <w:lvlText w:val="(%4)"/>
      <w:lvlJc w:val="left"/>
      <w:pPr>
        <w:ind w:left="2448" w:hanging="648"/>
      </w:pPr>
      <w:rPr>
        <w:rFonts w:ascii="Arial" w:hAnsi="Arial" w:cs="Univers"/>
        <w:b/>
        <w:i w:val="0"/>
        <w:spacing w:val="0"/>
        <w:sz w:val="18"/>
        <w:szCs w:val="18"/>
      </w:rPr>
    </w:lvl>
    <w:lvl w:ilvl="4">
      <w:start w:val="1"/>
      <w:numFmt w:val="lowerLetter"/>
      <w:lvlText w:val="(%5)"/>
      <w:lvlJc w:val="left"/>
      <w:pPr>
        <w:ind w:left="1800" w:hanging="360"/>
      </w:pPr>
    </w:lvl>
    <w:lvl w:ilvl="5">
      <w:start w:val="1"/>
      <w:numFmt w:val="decimal"/>
      <w:lvlText w:val="(%6)"/>
      <w:lvlJc w:val="left"/>
      <w:pPr>
        <w:ind w:left="2160" w:hanging="360"/>
      </w:pPr>
      <w:rPr>
        <w:rFonts w:ascii="Times" w:eastAsia="Times New Roman" w:hAnsi="Times" w:cs="Times New Roman"/>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AD543F7"/>
    <w:multiLevelType w:val="hybridMultilevel"/>
    <w:tmpl w:val="25348320"/>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 w15:restartNumberingAfterBreak="0">
    <w:nsid w:val="4B7E6154"/>
    <w:multiLevelType w:val="multilevel"/>
    <w:tmpl w:val="3F5E85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9233707"/>
    <w:multiLevelType w:val="hybridMultilevel"/>
    <w:tmpl w:val="73AAB4BE"/>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4" w15:restartNumberingAfterBreak="0">
    <w:nsid w:val="76F557F1"/>
    <w:multiLevelType w:val="multilevel"/>
    <w:tmpl w:val="8F9AADEE"/>
    <w:lvl w:ilvl="0">
      <w:start w:val="1"/>
      <w:numFmt w:val="decimal"/>
      <w:lvlText w:val="%1."/>
      <w:lvlJc w:val="left"/>
      <w:pPr>
        <w:ind w:left="567" w:hanging="567"/>
      </w:pPr>
      <w:rPr>
        <w:rFonts w:ascii="Arial" w:hAnsi="Arial" w:cs="Univers"/>
        <w:b/>
        <w:i w:val="0"/>
        <w:spacing w:val="0"/>
        <w:sz w:val="16"/>
        <w:szCs w:val="18"/>
      </w:rPr>
    </w:lvl>
    <w:lvl w:ilvl="1">
      <w:start w:val="1"/>
      <w:numFmt w:val="decimal"/>
      <w:lvlText w:val="(%2)"/>
      <w:lvlJc w:val="left"/>
      <w:pPr>
        <w:ind w:left="1134" w:hanging="567"/>
      </w:pPr>
      <w:rPr>
        <w:rFonts w:ascii="Arial" w:hAnsi="Arial" w:cs="Univers"/>
        <w:b/>
        <w:i w:val="0"/>
        <w:spacing w:val="0"/>
        <w:sz w:val="16"/>
        <w:szCs w:val="18"/>
      </w:rPr>
    </w:lvl>
    <w:lvl w:ilvl="2">
      <w:start w:val="1"/>
      <w:numFmt w:val="lowerLetter"/>
      <w:lvlText w:val="(%3)"/>
      <w:lvlJc w:val="left"/>
      <w:pPr>
        <w:ind w:left="1814" w:hanging="680"/>
      </w:pPr>
      <w:rPr>
        <w:rFonts w:ascii="Arial" w:hAnsi="Arial" w:cs="Times New Roman"/>
        <w:b/>
        <w:i w:val="0"/>
        <w:spacing w:val="0"/>
        <w:sz w:val="16"/>
        <w:szCs w:val="18"/>
      </w:rPr>
    </w:lvl>
    <w:lvl w:ilvl="3">
      <w:start w:val="1"/>
      <w:numFmt w:val="lowerLetter"/>
      <w:lvlText w:val="(%4)"/>
      <w:lvlJc w:val="left"/>
      <w:pPr>
        <w:ind w:left="2448" w:hanging="648"/>
      </w:pPr>
      <w:rPr>
        <w:rFonts w:ascii="Arial" w:hAnsi="Arial" w:cs="Univers"/>
        <w:b/>
        <w:i w:val="0"/>
        <w:spacing w:val="0"/>
        <w:sz w:val="18"/>
        <w:szCs w:val="18"/>
      </w:rPr>
    </w:lvl>
    <w:lvl w:ilvl="4">
      <w:start w:val="1"/>
      <w:numFmt w:val="lowerLetter"/>
      <w:lvlText w:val="(%5)"/>
      <w:lvlJc w:val="left"/>
      <w:pPr>
        <w:ind w:left="1800" w:hanging="360"/>
      </w:pPr>
    </w:lvl>
    <w:lvl w:ilvl="5">
      <w:start w:val="1"/>
      <w:numFmt w:val="decimal"/>
      <w:lvlText w:val="(%6)"/>
      <w:lvlJc w:val="left"/>
      <w:pPr>
        <w:ind w:left="2160" w:hanging="360"/>
      </w:pPr>
      <w:rPr>
        <w:rFonts w:ascii="Times" w:eastAsia="Times New Roman" w:hAnsi="Times" w:cs="Times New Roman"/>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8C3"/>
    <w:rsid w:val="0000003F"/>
    <w:rsid w:val="0000112F"/>
    <w:rsid w:val="0000131D"/>
    <w:rsid w:val="00002230"/>
    <w:rsid w:val="00003DE6"/>
    <w:rsid w:val="00004C2D"/>
    <w:rsid w:val="00005FBA"/>
    <w:rsid w:val="00006655"/>
    <w:rsid w:val="0000739D"/>
    <w:rsid w:val="00007584"/>
    <w:rsid w:val="00007DD6"/>
    <w:rsid w:val="000101EB"/>
    <w:rsid w:val="00011697"/>
    <w:rsid w:val="00013349"/>
    <w:rsid w:val="000162CE"/>
    <w:rsid w:val="00016427"/>
    <w:rsid w:val="00016C71"/>
    <w:rsid w:val="00016D17"/>
    <w:rsid w:val="000203EC"/>
    <w:rsid w:val="000205BC"/>
    <w:rsid w:val="0002105B"/>
    <w:rsid w:val="000220AB"/>
    <w:rsid w:val="00022282"/>
    <w:rsid w:val="000224FD"/>
    <w:rsid w:val="000226D0"/>
    <w:rsid w:val="00022A26"/>
    <w:rsid w:val="00024D07"/>
    <w:rsid w:val="0003147D"/>
    <w:rsid w:val="00031AE9"/>
    <w:rsid w:val="00033CC3"/>
    <w:rsid w:val="00034932"/>
    <w:rsid w:val="00034FA7"/>
    <w:rsid w:val="00035231"/>
    <w:rsid w:val="00036B89"/>
    <w:rsid w:val="00037D57"/>
    <w:rsid w:val="000409DA"/>
    <w:rsid w:val="0004162F"/>
    <w:rsid w:val="000427F2"/>
    <w:rsid w:val="00042C58"/>
    <w:rsid w:val="00045549"/>
    <w:rsid w:val="000458B1"/>
    <w:rsid w:val="00047E38"/>
    <w:rsid w:val="000501C1"/>
    <w:rsid w:val="00050339"/>
    <w:rsid w:val="00052D0F"/>
    <w:rsid w:val="000551BD"/>
    <w:rsid w:val="000556D0"/>
    <w:rsid w:val="000559DE"/>
    <w:rsid w:val="00056508"/>
    <w:rsid w:val="00056601"/>
    <w:rsid w:val="000603DE"/>
    <w:rsid w:val="000619AC"/>
    <w:rsid w:val="00063B21"/>
    <w:rsid w:val="00064900"/>
    <w:rsid w:val="00065297"/>
    <w:rsid w:val="0006617A"/>
    <w:rsid w:val="00066281"/>
    <w:rsid w:val="0006671D"/>
    <w:rsid w:val="00066D41"/>
    <w:rsid w:val="000674DD"/>
    <w:rsid w:val="00072E51"/>
    <w:rsid w:val="000734F3"/>
    <w:rsid w:val="0007352F"/>
    <w:rsid w:val="0007436B"/>
    <w:rsid w:val="00074884"/>
    <w:rsid w:val="00074A30"/>
    <w:rsid w:val="00075584"/>
    <w:rsid w:val="00075D20"/>
    <w:rsid w:val="00076F8F"/>
    <w:rsid w:val="00077EC8"/>
    <w:rsid w:val="000814C6"/>
    <w:rsid w:val="00081934"/>
    <w:rsid w:val="000823E6"/>
    <w:rsid w:val="00085733"/>
    <w:rsid w:val="00085A5C"/>
    <w:rsid w:val="000864C5"/>
    <w:rsid w:val="0008798D"/>
    <w:rsid w:val="00090B45"/>
    <w:rsid w:val="0009157A"/>
    <w:rsid w:val="00092629"/>
    <w:rsid w:val="00094B38"/>
    <w:rsid w:val="00094EF4"/>
    <w:rsid w:val="000953D4"/>
    <w:rsid w:val="00095554"/>
    <w:rsid w:val="000976C9"/>
    <w:rsid w:val="00097845"/>
    <w:rsid w:val="000A05A1"/>
    <w:rsid w:val="000A07C2"/>
    <w:rsid w:val="000A167A"/>
    <w:rsid w:val="000A5429"/>
    <w:rsid w:val="000A5FA0"/>
    <w:rsid w:val="000B077F"/>
    <w:rsid w:val="000B117D"/>
    <w:rsid w:val="000B11A7"/>
    <w:rsid w:val="000B1CB9"/>
    <w:rsid w:val="000B2F50"/>
    <w:rsid w:val="000B3B32"/>
    <w:rsid w:val="000B46F7"/>
    <w:rsid w:val="000B765A"/>
    <w:rsid w:val="000C0A90"/>
    <w:rsid w:val="000C137B"/>
    <w:rsid w:val="000C18BD"/>
    <w:rsid w:val="000C2A21"/>
    <w:rsid w:val="000C3D30"/>
    <w:rsid w:val="000C5285"/>
    <w:rsid w:val="000C5BF6"/>
    <w:rsid w:val="000C74A9"/>
    <w:rsid w:val="000C7C48"/>
    <w:rsid w:val="000D00E5"/>
    <w:rsid w:val="000D169E"/>
    <w:rsid w:val="000D2FDE"/>
    <w:rsid w:val="000D336C"/>
    <w:rsid w:val="000D3895"/>
    <w:rsid w:val="000D3B91"/>
    <w:rsid w:val="000D4592"/>
    <w:rsid w:val="000D4A70"/>
    <w:rsid w:val="000D4AB6"/>
    <w:rsid w:val="000D4FF5"/>
    <w:rsid w:val="000E25AE"/>
    <w:rsid w:val="000E2A1F"/>
    <w:rsid w:val="000E2F01"/>
    <w:rsid w:val="000E312D"/>
    <w:rsid w:val="000E3695"/>
    <w:rsid w:val="000E3A69"/>
    <w:rsid w:val="000E3E33"/>
    <w:rsid w:val="000E5857"/>
    <w:rsid w:val="000E641E"/>
    <w:rsid w:val="000E6E00"/>
    <w:rsid w:val="000E710F"/>
    <w:rsid w:val="000E78C3"/>
    <w:rsid w:val="000F0B40"/>
    <w:rsid w:val="000F10A9"/>
    <w:rsid w:val="000F13F2"/>
    <w:rsid w:val="000F1AE1"/>
    <w:rsid w:val="000F1D83"/>
    <w:rsid w:val="000F23A8"/>
    <w:rsid w:val="000F46A7"/>
    <w:rsid w:val="000F47C6"/>
    <w:rsid w:val="000F5CCF"/>
    <w:rsid w:val="000F7F2E"/>
    <w:rsid w:val="001000BB"/>
    <w:rsid w:val="00101EF8"/>
    <w:rsid w:val="0010302E"/>
    <w:rsid w:val="00103BFC"/>
    <w:rsid w:val="00103FC3"/>
    <w:rsid w:val="00104119"/>
    <w:rsid w:val="00106444"/>
    <w:rsid w:val="0010648E"/>
    <w:rsid w:val="001066B9"/>
    <w:rsid w:val="00106DFF"/>
    <w:rsid w:val="001072D8"/>
    <w:rsid w:val="00111026"/>
    <w:rsid w:val="001116C9"/>
    <w:rsid w:val="001126B2"/>
    <w:rsid w:val="0011302F"/>
    <w:rsid w:val="0011349D"/>
    <w:rsid w:val="0011409E"/>
    <w:rsid w:val="001163E4"/>
    <w:rsid w:val="001164C7"/>
    <w:rsid w:val="001171BA"/>
    <w:rsid w:val="0011794E"/>
    <w:rsid w:val="00117A46"/>
    <w:rsid w:val="00117B16"/>
    <w:rsid w:val="00120AD7"/>
    <w:rsid w:val="00122241"/>
    <w:rsid w:val="0012370E"/>
    <w:rsid w:val="0012500B"/>
    <w:rsid w:val="001256FE"/>
    <w:rsid w:val="00126D22"/>
    <w:rsid w:val="00127477"/>
    <w:rsid w:val="00127A4F"/>
    <w:rsid w:val="00130428"/>
    <w:rsid w:val="001313C1"/>
    <w:rsid w:val="0013181E"/>
    <w:rsid w:val="00132D3E"/>
    <w:rsid w:val="0013479D"/>
    <w:rsid w:val="00134CE9"/>
    <w:rsid w:val="00134D6D"/>
    <w:rsid w:val="00134EC1"/>
    <w:rsid w:val="0013510A"/>
    <w:rsid w:val="00136E72"/>
    <w:rsid w:val="00136F92"/>
    <w:rsid w:val="001370DB"/>
    <w:rsid w:val="001400FA"/>
    <w:rsid w:val="0014034E"/>
    <w:rsid w:val="0014052C"/>
    <w:rsid w:val="00142F9A"/>
    <w:rsid w:val="0014372E"/>
    <w:rsid w:val="00143C68"/>
    <w:rsid w:val="001441F6"/>
    <w:rsid w:val="001446AA"/>
    <w:rsid w:val="00145DBA"/>
    <w:rsid w:val="00146476"/>
    <w:rsid w:val="00147347"/>
    <w:rsid w:val="0014795B"/>
    <w:rsid w:val="00150250"/>
    <w:rsid w:val="00151283"/>
    <w:rsid w:val="00151DF6"/>
    <w:rsid w:val="0015322A"/>
    <w:rsid w:val="0015352E"/>
    <w:rsid w:val="00154BA6"/>
    <w:rsid w:val="00157E98"/>
    <w:rsid w:val="001606DC"/>
    <w:rsid w:val="0016171C"/>
    <w:rsid w:val="00161E8A"/>
    <w:rsid w:val="00162D80"/>
    <w:rsid w:val="00163C3C"/>
    <w:rsid w:val="0016491C"/>
    <w:rsid w:val="001653AD"/>
    <w:rsid w:val="001656BA"/>
    <w:rsid w:val="00166879"/>
    <w:rsid w:val="001669E1"/>
    <w:rsid w:val="00166C1A"/>
    <w:rsid w:val="001672C7"/>
    <w:rsid w:val="001703B9"/>
    <w:rsid w:val="001704C3"/>
    <w:rsid w:val="0017221D"/>
    <w:rsid w:val="00172786"/>
    <w:rsid w:val="001730E3"/>
    <w:rsid w:val="00173AB4"/>
    <w:rsid w:val="00174850"/>
    <w:rsid w:val="00174D0D"/>
    <w:rsid w:val="00174DCC"/>
    <w:rsid w:val="001764EF"/>
    <w:rsid w:val="00177045"/>
    <w:rsid w:val="00177745"/>
    <w:rsid w:val="00180ABA"/>
    <w:rsid w:val="00180E0E"/>
    <w:rsid w:val="00184FDD"/>
    <w:rsid w:val="001852E3"/>
    <w:rsid w:val="00185C00"/>
    <w:rsid w:val="00186383"/>
    <w:rsid w:val="001865F4"/>
    <w:rsid w:val="0018755F"/>
    <w:rsid w:val="00191172"/>
    <w:rsid w:val="00191431"/>
    <w:rsid w:val="00191A6D"/>
    <w:rsid w:val="00192BB0"/>
    <w:rsid w:val="00196162"/>
    <w:rsid w:val="00196584"/>
    <w:rsid w:val="00196649"/>
    <w:rsid w:val="001969C5"/>
    <w:rsid w:val="00196B76"/>
    <w:rsid w:val="0019709D"/>
    <w:rsid w:val="0019781A"/>
    <w:rsid w:val="001979C0"/>
    <w:rsid w:val="001A03AB"/>
    <w:rsid w:val="001A2F52"/>
    <w:rsid w:val="001A392E"/>
    <w:rsid w:val="001A3CD8"/>
    <w:rsid w:val="001A3FC7"/>
    <w:rsid w:val="001A45C7"/>
    <w:rsid w:val="001A5D82"/>
    <w:rsid w:val="001A653D"/>
    <w:rsid w:val="001B17DB"/>
    <w:rsid w:val="001B1A13"/>
    <w:rsid w:val="001B2721"/>
    <w:rsid w:val="001B41E1"/>
    <w:rsid w:val="001B7E13"/>
    <w:rsid w:val="001C0CCC"/>
    <w:rsid w:val="001C0FD9"/>
    <w:rsid w:val="001C1A20"/>
    <w:rsid w:val="001C1CFE"/>
    <w:rsid w:val="001C2C86"/>
    <w:rsid w:val="001C397C"/>
    <w:rsid w:val="001C5A49"/>
    <w:rsid w:val="001D22FB"/>
    <w:rsid w:val="001D3316"/>
    <w:rsid w:val="001D38A2"/>
    <w:rsid w:val="001D44C7"/>
    <w:rsid w:val="001D5416"/>
    <w:rsid w:val="001D65DE"/>
    <w:rsid w:val="001D7066"/>
    <w:rsid w:val="001D75D7"/>
    <w:rsid w:val="001E2AD5"/>
    <w:rsid w:val="001E4987"/>
    <w:rsid w:val="001F0526"/>
    <w:rsid w:val="001F08D4"/>
    <w:rsid w:val="001F0C0C"/>
    <w:rsid w:val="001F1C8A"/>
    <w:rsid w:val="001F2991"/>
    <w:rsid w:val="001F460A"/>
    <w:rsid w:val="001F4634"/>
    <w:rsid w:val="001F4E76"/>
    <w:rsid w:val="001F5AA5"/>
    <w:rsid w:val="001F73DD"/>
    <w:rsid w:val="0020056D"/>
    <w:rsid w:val="00200980"/>
    <w:rsid w:val="002012AD"/>
    <w:rsid w:val="00201921"/>
    <w:rsid w:val="00201ACC"/>
    <w:rsid w:val="00201F75"/>
    <w:rsid w:val="00204D7A"/>
    <w:rsid w:val="0020508E"/>
    <w:rsid w:val="00205F6E"/>
    <w:rsid w:val="002065A5"/>
    <w:rsid w:val="00207C64"/>
    <w:rsid w:val="00211BCD"/>
    <w:rsid w:val="00212347"/>
    <w:rsid w:val="00213F4D"/>
    <w:rsid w:val="00214D3E"/>
    <w:rsid w:val="00214D79"/>
    <w:rsid w:val="0021533B"/>
    <w:rsid w:val="00215AB8"/>
    <w:rsid w:val="00215C53"/>
    <w:rsid w:val="0021682E"/>
    <w:rsid w:val="00217501"/>
    <w:rsid w:val="00221F50"/>
    <w:rsid w:val="00224709"/>
    <w:rsid w:val="00226257"/>
    <w:rsid w:val="002262E1"/>
    <w:rsid w:val="00226F1E"/>
    <w:rsid w:val="00227510"/>
    <w:rsid w:val="00227D4F"/>
    <w:rsid w:val="002312F4"/>
    <w:rsid w:val="00231ADE"/>
    <w:rsid w:val="002326CD"/>
    <w:rsid w:val="00233788"/>
    <w:rsid w:val="0023588B"/>
    <w:rsid w:val="00235CC6"/>
    <w:rsid w:val="0023665A"/>
    <w:rsid w:val="0024016D"/>
    <w:rsid w:val="00240387"/>
    <w:rsid w:val="00240EA5"/>
    <w:rsid w:val="0024150B"/>
    <w:rsid w:val="002416D0"/>
    <w:rsid w:val="00241DFB"/>
    <w:rsid w:val="002442FF"/>
    <w:rsid w:val="00244370"/>
    <w:rsid w:val="00244BCB"/>
    <w:rsid w:val="00245892"/>
    <w:rsid w:val="002467EC"/>
    <w:rsid w:val="002477F0"/>
    <w:rsid w:val="00247D03"/>
    <w:rsid w:val="002510B6"/>
    <w:rsid w:val="00251331"/>
    <w:rsid w:val="00251829"/>
    <w:rsid w:val="002519D6"/>
    <w:rsid w:val="00252A58"/>
    <w:rsid w:val="0025327C"/>
    <w:rsid w:val="0025378D"/>
    <w:rsid w:val="00253C7B"/>
    <w:rsid w:val="00254806"/>
    <w:rsid w:val="00254D78"/>
    <w:rsid w:val="00254DDF"/>
    <w:rsid w:val="00256463"/>
    <w:rsid w:val="002564F6"/>
    <w:rsid w:val="00256C2E"/>
    <w:rsid w:val="002601D8"/>
    <w:rsid w:val="00260EC3"/>
    <w:rsid w:val="00261F48"/>
    <w:rsid w:val="00262F51"/>
    <w:rsid w:val="00264CE9"/>
    <w:rsid w:val="002653EB"/>
    <w:rsid w:val="0026682A"/>
    <w:rsid w:val="00270A2F"/>
    <w:rsid w:val="0027197B"/>
    <w:rsid w:val="00271EBF"/>
    <w:rsid w:val="00275945"/>
    <w:rsid w:val="00275E21"/>
    <w:rsid w:val="00276CD0"/>
    <w:rsid w:val="00280340"/>
    <w:rsid w:val="0028051C"/>
    <w:rsid w:val="00280FBC"/>
    <w:rsid w:val="002831F9"/>
    <w:rsid w:val="00283601"/>
    <w:rsid w:val="00286A6D"/>
    <w:rsid w:val="00286AD5"/>
    <w:rsid w:val="00290787"/>
    <w:rsid w:val="002910DC"/>
    <w:rsid w:val="00292BB5"/>
    <w:rsid w:val="002930F5"/>
    <w:rsid w:val="00293BC7"/>
    <w:rsid w:val="002943AC"/>
    <w:rsid w:val="002954C5"/>
    <w:rsid w:val="00296557"/>
    <w:rsid w:val="00296C72"/>
    <w:rsid w:val="00297C25"/>
    <w:rsid w:val="002A04C3"/>
    <w:rsid w:val="002A1457"/>
    <w:rsid w:val="002A3A33"/>
    <w:rsid w:val="002A4149"/>
    <w:rsid w:val="002A6985"/>
    <w:rsid w:val="002A6A82"/>
    <w:rsid w:val="002A6BAC"/>
    <w:rsid w:val="002A7299"/>
    <w:rsid w:val="002A79FD"/>
    <w:rsid w:val="002B204A"/>
    <w:rsid w:val="002B2389"/>
    <w:rsid w:val="002B25D6"/>
    <w:rsid w:val="002B2EEE"/>
    <w:rsid w:val="002B5784"/>
    <w:rsid w:val="002B7E25"/>
    <w:rsid w:val="002C0527"/>
    <w:rsid w:val="002C05F2"/>
    <w:rsid w:val="002C0B38"/>
    <w:rsid w:val="002C335C"/>
    <w:rsid w:val="002C39F8"/>
    <w:rsid w:val="002C3C34"/>
    <w:rsid w:val="002C4676"/>
    <w:rsid w:val="002C4A43"/>
    <w:rsid w:val="002C4A66"/>
    <w:rsid w:val="002D095D"/>
    <w:rsid w:val="002D1840"/>
    <w:rsid w:val="002D1842"/>
    <w:rsid w:val="002D39E4"/>
    <w:rsid w:val="002D4496"/>
    <w:rsid w:val="002D46DF"/>
    <w:rsid w:val="002D54AC"/>
    <w:rsid w:val="002D6BC7"/>
    <w:rsid w:val="002D72EA"/>
    <w:rsid w:val="002E27EC"/>
    <w:rsid w:val="002E3348"/>
    <w:rsid w:val="002E39C1"/>
    <w:rsid w:val="002E53C7"/>
    <w:rsid w:val="002E5EC0"/>
    <w:rsid w:val="002E6BA8"/>
    <w:rsid w:val="002E78EA"/>
    <w:rsid w:val="002F0FF1"/>
    <w:rsid w:val="002F15C1"/>
    <w:rsid w:val="002F2FF8"/>
    <w:rsid w:val="002F5D04"/>
    <w:rsid w:val="002F5E76"/>
    <w:rsid w:val="003012A4"/>
    <w:rsid w:val="00301679"/>
    <w:rsid w:val="00301BA8"/>
    <w:rsid w:val="00301DD5"/>
    <w:rsid w:val="003024FD"/>
    <w:rsid w:val="003028F0"/>
    <w:rsid w:val="003054BC"/>
    <w:rsid w:val="00305831"/>
    <w:rsid w:val="00305A4E"/>
    <w:rsid w:val="003103DE"/>
    <w:rsid w:val="00310892"/>
    <w:rsid w:val="00311867"/>
    <w:rsid w:val="003119C5"/>
    <w:rsid w:val="00312A89"/>
    <w:rsid w:val="00312C50"/>
    <w:rsid w:val="00313180"/>
    <w:rsid w:val="0031442E"/>
    <w:rsid w:val="00314762"/>
    <w:rsid w:val="003148FB"/>
    <w:rsid w:val="00315726"/>
    <w:rsid w:val="00315E58"/>
    <w:rsid w:val="00316ED3"/>
    <w:rsid w:val="00321682"/>
    <w:rsid w:val="00321AD3"/>
    <w:rsid w:val="00323353"/>
    <w:rsid w:val="003238A5"/>
    <w:rsid w:val="00324EDB"/>
    <w:rsid w:val="0032568B"/>
    <w:rsid w:val="00333AC4"/>
    <w:rsid w:val="00334591"/>
    <w:rsid w:val="00334764"/>
    <w:rsid w:val="00334936"/>
    <w:rsid w:val="00335152"/>
    <w:rsid w:val="00335316"/>
    <w:rsid w:val="00335591"/>
    <w:rsid w:val="003355B9"/>
    <w:rsid w:val="00335BAA"/>
    <w:rsid w:val="003360D4"/>
    <w:rsid w:val="00336190"/>
    <w:rsid w:val="00340933"/>
    <w:rsid w:val="00341943"/>
    <w:rsid w:val="00341CD0"/>
    <w:rsid w:val="00342FC2"/>
    <w:rsid w:val="00343B00"/>
    <w:rsid w:val="00343ECF"/>
    <w:rsid w:val="00343F11"/>
    <w:rsid w:val="003457C6"/>
    <w:rsid w:val="0034689A"/>
    <w:rsid w:val="00346D05"/>
    <w:rsid w:val="00347409"/>
    <w:rsid w:val="00347DF1"/>
    <w:rsid w:val="00350D3D"/>
    <w:rsid w:val="00350E04"/>
    <w:rsid w:val="0035259B"/>
    <w:rsid w:val="00357BAB"/>
    <w:rsid w:val="00360EEA"/>
    <w:rsid w:val="003617DE"/>
    <w:rsid w:val="00361E50"/>
    <w:rsid w:val="00362C41"/>
    <w:rsid w:val="00362CBB"/>
    <w:rsid w:val="0036342B"/>
    <w:rsid w:val="00365A69"/>
    <w:rsid w:val="003662D6"/>
    <w:rsid w:val="00366304"/>
    <w:rsid w:val="00366859"/>
    <w:rsid w:val="003674D6"/>
    <w:rsid w:val="00370271"/>
    <w:rsid w:val="003718BC"/>
    <w:rsid w:val="00372C1F"/>
    <w:rsid w:val="00373363"/>
    <w:rsid w:val="00374BF2"/>
    <w:rsid w:val="003756A0"/>
    <w:rsid w:val="00376203"/>
    <w:rsid w:val="003772C4"/>
    <w:rsid w:val="003774BA"/>
    <w:rsid w:val="00380676"/>
    <w:rsid w:val="0038479B"/>
    <w:rsid w:val="00384A47"/>
    <w:rsid w:val="00384E2F"/>
    <w:rsid w:val="00387E68"/>
    <w:rsid w:val="00393B4A"/>
    <w:rsid w:val="00396169"/>
    <w:rsid w:val="003969AA"/>
    <w:rsid w:val="00397837"/>
    <w:rsid w:val="00397B5D"/>
    <w:rsid w:val="003A08D2"/>
    <w:rsid w:val="003A1668"/>
    <w:rsid w:val="003A2077"/>
    <w:rsid w:val="003A24E4"/>
    <w:rsid w:val="003A2927"/>
    <w:rsid w:val="003A4760"/>
    <w:rsid w:val="003A49C1"/>
    <w:rsid w:val="003B01DE"/>
    <w:rsid w:val="003B13AA"/>
    <w:rsid w:val="003B3785"/>
    <w:rsid w:val="003B3D0D"/>
    <w:rsid w:val="003B3E10"/>
    <w:rsid w:val="003B40C9"/>
    <w:rsid w:val="003B4C5C"/>
    <w:rsid w:val="003B532F"/>
    <w:rsid w:val="003B5E9B"/>
    <w:rsid w:val="003B5FDB"/>
    <w:rsid w:val="003B650D"/>
    <w:rsid w:val="003B6D86"/>
    <w:rsid w:val="003B6E5D"/>
    <w:rsid w:val="003B7710"/>
    <w:rsid w:val="003C19FD"/>
    <w:rsid w:val="003C1E79"/>
    <w:rsid w:val="003C1F08"/>
    <w:rsid w:val="003C20C2"/>
    <w:rsid w:val="003C2C8F"/>
    <w:rsid w:val="003C3515"/>
    <w:rsid w:val="003C370E"/>
    <w:rsid w:val="003C39A6"/>
    <w:rsid w:val="003C3B6D"/>
    <w:rsid w:val="003C4054"/>
    <w:rsid w:val="003C5284"/>
    <w:rsid w:val="003C721F"/>
    <w:rsid w:val="003D0CF0"/>
    <w:rsid w:val="003D1673"/>
    <w:rsid w:val="003D1C9E"/>
    <w:rsid w:val="003D1FE4"/>
    <w:rsid w:val="003D23D0"/>
    <w:rsid w:val="003D2A05"/>
    <w:rsid w:val="003D3691"/>
    <w:rsid w:val="003D4A2F"/>
    <w:rsid w:val="003D670C"/>
    <w:rsid w:val="003D6B4A"/>
    <w:rsid w:val="003D75C8"/>
    <w:rsid w:val="003E072C"/>
    <w:rsid w:val="003E099D"/>
    <w:rsid w:val="003E2A50"/>
    <w:rsid w:val="003E34E4"/>
    <w:rsid w:val="003E3A13"/>
    <w:rsid w:val="003E4D9B"/>
    <w:rsid w:val="003E4DB3"/>
    <w:rsid w:val="003E609E"/>
    <w:rsid w:val="003E68A5"/>
    <w:rsid w:val="003E69D9"/>
    <w:rsid w:val="003E79B6"/>
    <w:rsid w:val="003E7CB4"/>
    <w:rsid w:val="003F0963"/>
    <w:rsid w:val="003F1AC8"/>
    <w:rsid w:val="003F2935"/>
    <w:rsid w:val="003F40C4"/>
    <w:rsid w:val="003F4D83"/>
    <w:rsid w:val="003F5FB7"/>
    <w:rsid w:val="003F6069"/>
    <w:rsid w:val="003F74B1"/>
    <w:rsid w:val="003F7C82"/>
    <w:rsid w:val="0040139E"/>
    <w:rsid w:val="00402CF5"/>
    <w:rsid w:val="00403121"/>
    <w:rsid w:val="00403E07"/>
    <w:rsid w:val="0040532D"/>
    <w:rsid w:val="00407565"/>
    <w:rsid w:val="00410E98"/>
    <w:rsid w:val="00411296"/>
    <w:rsid w:val="00412658"/>
    <w:rsid w:val="00412D06"/>
    <w:rsid w:val="00414378"/>
    <w:rsid w:val="00415428"/>
    <w:rsid w:val="00415B13"/>
    <w:rsid w:val="00417874"/>
    <w:rsid w:val="00417B46"/>
    <w:rsid w:val="00423881"/>
    <w:rsid w:val="00423EF2"/>
    <w:rsid w:val="0042436B"/>
    <w:rsid w:val="0042634F"/>
    <w:rsid w:val="004270BE"/>
    <w:rsid w:val="00427903"/>
    <w:rsid w:val="00430212"/>
    <w:rsid w:val="004311C2"/>
    <w:rsid w:val="004316DC"/>
    <w:rsid w:val="004318AF"/>
    <w:rsid w:val="00432AC9"/>
    <w:rsid w:val="004330D2"/>
    <w:rsid w:val="00434ED1"/>
    <w:rsid w:val="00435D0F"/>
    <w:rsid w:val="004364FB"/>
    <w:rsid w:val="00437A45"/>
    <w:rsid w:val="004407FE"/>
    <w:rsid w:val="004411E8"/>
    <w:rsid w:val="004419D3"/>
    <w:rsid w:val="00441C90"/>
    <w:rsid w:val="0044337B"/>
    <w:rsid w:val="004474F9"/>
    <w:rsid w:val="00447AF6"/>
    <w:rsid w:val="00447C75"/>
    <w:rsid w:val="004508C5"/>
    <w:rsid w:val="0045117E"/>
    <w:rsid w:val="004511A4"/>
    <w:rsid w:val="00451FE6"/>
    <w:rsid w:val="0045505C"/>
    <w:rsid w:val="004553AD"/>
    <w:rsid w:val="00460B75"/>
    <w:rsid w:val="00460D7D"/>
    <w:rsid w:val="00462111"/>
    <w:rsid w:val="00462C97"/>
    <w:rsid w:val="00462E86"/>
    <w:rsid w:val="00463688"/>
    <w:rsid w:val="00464D75"/>
    <w:rsid w:val="00465318"/>
    <w:rsid w:val="00465965"/>
    <w:rsid w:val="00466610"/>
    <w:rsid w:val="00467125"/>
    <w:rsid w:val="004675AC"/>
    <w:rsid w:val="00471C33"/>
    <w:rsid w:val="004729EB"/>
    <w:rsid w:val="00473149"/>
    <w:rsid w:val="00473D45"/>
    <w:rsid w:val="004749B1"/>
    <w:rsid w:val="004750E0"/>
    <w:rsid w:val="004761FA"/>
    <w:rsid w:val="00477B2D"/>
    <w:rsid w:val="00477BCA"/>
    <w:rsid w:val="00480AD2"/>
    <w:rsid w:val="004819E3"/>
    <w:rsid w:val="00481F4A"/>
    <w:rsid w:val="00483263"/>
    <w:rsid w:val="00484E21"/>
    <w:rsid w:val="00491633"/>
    <w:rsid w:val="00491841"/>
    <w:rsid w:val="004932DF"/>
    <w:rsid w:val="00493E16"/>
    <w:rsid w:val="00493E5E"/>
    <w:rsid w:val="00494548"/>
    <w:rsid w:val="00494BB5"/>
    <w:rsid w:val="004963DF"/>
    <w:rsid w:val="00496F53"/>
    <w:rsid w:val="004A2C47"/>
    <w:rsid w:val="004A3B96"/>
    <w:rsid w:val="004A42B9"/>
    <w:rsid w:val="004A65D6"/>
    <w:rsid w:val="004A7494"/>
    <w:rsid w:val="004A76FC"/>
    <w:rsid w:val="004B09E6"/>
    <w:rsid w:val="004B1C79"/>
    <w:rsid w:val="004B1F75"/>
    <w:rsid w:val="004B1F9C"/>
    <w:rsid w:val="004B2D20"/>
    <w:rsid w:val="004B3948"/>
    <w:rsid w:val="004B438F"/>
    <w:rsid w:val="004B5B64"/>
    <w:rsid w:val="004B5BE6"/>
    <w:rsid w:val="004B5E5E"/>
    <w:rsid w:val="004B6905"/>
    <w:rsid w:val="004C0DF9"/>
    <w:rsid w:val="004C0E61"/>
    <w:rsid w:val="004C1E31"/>
    <w:rsid w:val="004C208F"/>
    <w:rsid w:val="004C3100"/>
    <w:rsid w:val="004C36BE"/>
    <w:rsid w:val="004C3E00"/>
    <w:rsid w:val="004C45B6"/>
    <w:rsid w:val="004C6260"/>
    <w:rsid w:val="004C649D"/>
    <w:rsid w:val="004C6F3A"/>
    <w:rsid w:val="004C6FB7"/>
    <w:rsid w:val="004C727B"/>
    <w:rsid w:val="004C72C5"/>
    <w:rsid w:val="004C7A59"/>
    <w:rsid w:val="004D0F43"/>
    <w:rsid w:val="004D1451"/>
    <w:rsid w:val="004D1B07"/>
    <w:rsid w:val="004D20FE"/>
    <w:rsid w:val="004D36F0"/>
    <w:rsid w:val="004D3828"/>
    <w:rsid w:val="004D444D"/>
    <w:rsid w:val="004D44CE"/>
    <w:rsid w:val="004D46F4"/>
    <w:rsid w:val="004D673D"/>
    <w:rsid w:val="004D73EA"/>
    <w:rsid w:val="004D7A46"/>
    <w:rsid w:val="004E02D6"/>
    <w:rsid w:val="004E309A"/>
    <w:rsid w:val="004E4585"/>
    <w:rsid w:val="004F0AA1"/>
    <w:rsid w:val="004F1A51"/>
    <w:rsid w:val="004F3F5E"/>
    <w:rsid w:val="004F3F66"/>
    <w:rsid w:val="004F425C"/>
    <w:rsid w:val="004F4A84"/>
    <w:rsid w:val="004F65E2"/>
    <w:rsid w:val="004F6C43"/>
    <w:rsid w:val="004F76EB"/>
    <w:rsid w:val="005003D6"/>
    <w:rsid w:val="005015A2"/>
    <w:rsid w:val="00503496"/>
    <w:rsid w:val="00503931"/>
    <w:rsid w:val="00504E24"/>
    <w:rsid w:val="00505375"/>
    <w:rsid w:val="00507540"/>
    <w:rsid w:val="005079EA"/>
    <w:rsid w:val="00507DF1"/>
    <w:rsid w:val="0051035C"/>
    <w:rsid w:val="005116CF"/>
    <w:rsid w:val="00511E64"/>
    <w:rsid w:val="0051249B"/>
    <w:rsid w:val="00513234"/>
    <w:rsid w:val="0051618D"/>
    <w:rsid w:val="005163B2"/>
    <w:rsid w:val="005170CA"/>
    <w:rsid w:val="00520558"/>
    <w:rsid w:val="00520CE3"/>
    <w:rsid w:val="00521957"/>
    <w:rsid w:val="00523E4E"/>
    <w:rsid w:val="00524580"/>
    <w:rsid w:val="00525898"/>
    <w:rsid w:val="00526A20"/>
    <w:rsid w:val="00530E80"/>
    <w:rsid w:val="005310BC"/>
    <w:rsid w:val="00534FB2"/>
    <w:rsid w:val="00537839"/>
    <w:rsid w:val="005421C5"/>
    <w:rsid w:val="00544E75"/>
    <w:rsid w:val="00545162"/>
    <w:rsid w:val="00545542"/>
    <w:rsid w:val="0054666B"/>
    <w:rsid w:val="005466F1"/>
    <w:rsid w:val="00547C8A"/>
    <w:rsid w:val="00550056"/>
    <w:rsid w:val="00550271"/>
    <w:rsid w:val="0055079D"/>
    <w:rsid w:val="00550B4C"/>
    <w:rsid w:val="00551021"/>
    <w:rsid w:val="0055156F"/>
    <w:rsid w:val="00552310"/>
    <w:rsid w:val="00552752"/>
    <w:rsid w:val="00553A50"/>
    <w:rsid w:val="00553BD8"/>
    <w:rsid w:val="005548CB"/>
    <w:rsid w:val="005561D2"/>
    <w:rsid w:val="0055732C"/>
    <w:rsid w:val="005573C0"/>
    <w:rsid w:val="00560301"/>
    <w:rsid w:val="005618C5"/>
    <w:rsid w:val="0056241F"/>
    <w:rsid w:val="0056439F"/>
    <w:rsid w:val="005648EA"/>
    <w:rsid w:val="00564BF7"/>
    <w:rsid w:val="005660A5"/>
    <w:rsid w:val="00566806"/>
    <w:rsid w:val="0056700A"/>
    <w:rsid w:val="005707F4"/>
    <w:rsid w:val="005719A8"/>
    <w:rsid w:val="005722C1"/>
    <w:rsid w:val="00572803"/>
    <w:rsid w:val="0057358A"/>
    <w:rsid w:val="00574941"/>
    <w:rsid w:val="0057678E"/>
    <w:rsid w:val="00576970"/>
    <w:rsid w:val="0057729F"/>
    <w:rsid w:val="00577653"/>
    <w:rsid w:val="00581571"/>
    <w:rsid w:val="005817D5"/>
    <w:rsid w:val="00581C22"/>
    <w:rsid w:val="00583D08"/>
    <w:rsid w:val="00587661"/>
    <w:rsid w:val="0058791A"/>
    <w:rsid w:val="00591234"/>
    <w:rsid w:val="00591378"/>
    <w:rsid w:val="005913A2"/>
    <w:rsid w:val="00591453"/>
    <w:rsid w:val="00592DC1"/>
    <w:rsid w:val="00592EA1"/>
    <w:rsid w:val="00593BBB"/>
    <w:rsid w:val="005960AE"/>
    <w:rsid w:val="00597505"/>
    <w:rsid w:val="005A0FB8"/>
    <w:rsid w:val="005A1611"/>
    <w:rsid w:val="005A16DB"/>
    <w:rsid w:val="005A1E56"/>
    <w:rsid w:val="005A25D8"/>
    <w:rsid w:val="005A2C4A"/>
    <w:rsid w:val="005A2FE6"/>
    <w:rsid w:val="005A44B2"/>
    <w:rsid w:val="005A54AD"/>
    <w:rsid w:val="005A5638"/>
    <w:rsid w:val="005A5B0F"/>
    <w:rsid w:val="005A6128"/>
    <w:rsid w:val="005A685B"/>
    <w:rsid w:val="005B02F6"/>
    <w:rsid w:val="005B11A1"/>
    <w:rsid w:val="005B2460"/>
    <w:rsid w:val="005B2BF0"/>
    <w:rsid w:val="005B35B3"/>
    <w:rsid w:val="005B36BB"/>
    <w:rsid w:val="005B4408"/>
    <w:rsid w:val="005B4622"/>
    <w:rsid w:val="005B4B1D"/>
    <w:rsid w:val="005B5A2D"/>
    <w:rsid w:val="005B600A"/>
    <w:rsid w:val="005B7324"/>
    <w:rsid w:val="005B77CE"/>
    <w:rsid w:val="005C0500"/>
    <w:rsid w:val="005C097D"/>
    <w:rsid w:val="005C1AC8"/>
    <w:rsid w:val="005C200C"/>
    <w:rsid w:val="005C29FA"/>
    <w:rsid w:val="005C2FE1"/>
    <w:rsid w:val="005C360F"/>
    <w:rsid w:val="005C3827"/>
    <w:rsid w:val="005C4441"/>
    <w:rsid w:val="005C4EE9"/>
    <w:rsid w:val="005C7852"/>
    <w:rsid w:val="005D1005"/>
    <w:rsid w:val="005D141C"/>
    <w:rsid w:val="005D1C27"/>
    <w:rsid w:val="005D3024"/>
    <w:rsid w:val="005D5CC8"/>
    <w:rsid w:val="005D60A1"/>
    <w:rsid w:val="005D6B60"/>
    <w:rsid w:val="005D6BFD"/>
    <w:rsid w:val="005D7A7E"/>
    <w:rsid w:val="005E0019"/>
    <w:rsid w:val="005E001F"/>
    <w:rsid w:val="005E0A70"/>
    <w:rsid w:val="005E20D2"/>
    <w:rsid w:val="005E31A4"/>
    <w:rsid w:val="005E3C2F"/>
    <w:rsid w:val="005E4533"/>
    <w:rsid w:val="005E4742"/>
    <w:rsid w:val="005E483B"/>
    <w:rsid w:val="005E6090"/>
    <w:rsid w:val="005E6976"/>
    <w:rsid w:val="005E6C9D"/>
    <w:rsid w:val="005F01A0"/>
    <w:rsid w:val="005F1851"/>
    <w:rsid w:val="005F2BB6"/>
    <w:rsid w:val="005F2FAD"/>
    <w:rsid w:val="005F36BB"/>
    <w:rsid w:val="005F4596"/>
    <w:rsid w:val="005F5AFC"/>
    <w:rsid w:val="005F66A6"/>
    <w:rsid w:val="005F6B19"/>
    <w:rsid w:val="005F7AB5"/>
    <w:rsid w:val="006008CC"/>
    <w:rsid w:val="00600902"/>
    <w:rsid w:val="00601178"/>
    <w:rsid w:val="00602500"/>
    <w:rsid w:val="0060311B"/>
    <w:rsid w:val="006038AC"/>
    <w:rsid w:val="00605128"/>
    <w:rsid w:val="00605BEB"/>
    <w:rsid w:val="00607342"/>
    <w:rsid w:val="00610309"/>
    <w:rsid w:val="0061048D"/>
    <w:rsid w:val="00611478"/>
    <w:rsid w:val="00611F45"/>
    <w:rsid w:val="0061399B"/>
    <w:rsid w:val="00616897"/>
    <w:rsid w:val="00617A04"/>
    <w:rsid w:val="006200EE"/>
    <w:rsid w:val="00622415"/>
    <w:rsid w:val="0062312F"/>
    <w:rsid w:val="00624996"/>
    <w:rsid w:val="00625B57"/>
    <w:rsid w:val="00625CC5"/>
    <w:rsid w:val="00630383"/>
    <w:rsid w:val="00630E92"/>
    <w:rsid w:val="00631B0B"/>
    <w:rsid w:val="0063215E"/>
    <w:rsid w:val="006324A3"/>
    <w:rsid w:val="00632C79"/>
    <w:rsid w:val="00634991"/>
    <w:rsid w:val="00634CEE"/>
    <w:rsid w:val="00634FB5"/>
    <w:rsid w:val="0063562B"/>
    <w:rsid w:val="00636C87"/>
    <w:rsid w:val="006373D6"/>
    <w:rsid w:val="00637C17"/>
    <w:rsid w:val="00642290"/>
    <w:rsid w:val="0064271C"/>
    <w:rsid w:val="00642DC9"/>
    <w:rsid w:val="006432B6"/>
    <w:rsid w:val="006456C6"/>
    <w:rsid w:val="006458D9"/>
    <w:rsid w:val="006501EA"/>
    <w:rsid w:val="006511B9"/>
    <w:rsid w:val="0065311F"/>
    <w:rsid w:val="00654C3B"/>
    <w:rsid w:val="00655CF3"/>
    <w:rsid w:val="0065626C"/>
    <w:rsid w:val="0066199E"/>
    <w:rsid w:val="00662010"/>
    <w:rsid w:val="0066225D"/>
    <w:rsid w:val="00663729"/>
    <w:rsid w:val="00663EC2"/>
    <w:rsid w:val="00663ED8"/>
    <w:rsid w:val="00664077"/>
    <w:rsid w:val="006644DC"/>
    <w:rsid w:val="00667631"/>
    <w:rsid w:val="006703AE"/>
    <w:rsid w:val="006716A8"/>
    <w:rsid w:val="006738A6"/>
    <w:rsid w:val="00673AA4"/>
    <w:rsid w:val="00673F97"/>
    <w:rsid w:val="00674E8E"/>
    <w:rsid w:val="0067580B"/>
    <w:rsid w:val="006767CC"/>
    <w:rsid w:val="00676DFA"/>
    <w:rsid w:val="00680BED"/>
    <w:rsid w:val="00683341"/>
    <w:rsid w:val="00683738"/>
    <w:rsid w:val="006842E8"/>
    <w:rsid w:val="0068495B"/>
    <w:rsid w:val="00684E74"/>
    <w:rsid w:val="00686454"/>
    <w:rsid w:val="00686C15"/>
    <w:rsid w:val="0068763D"/>
    <w:rsid w:val="00690552"/>
    <w:rsid w:val="006905E9"/>
    <w:rsid w:val="006913E8"/>
    <w:rsid w:val="006917B7"/>
    <w:rsid w:val="00691910"/>
    <w:rsid w:val="00692D07"/>
    <w:rsid w:val="00693218"/>
    <w:rsid w:val="00693CFA"/>
    <w:rsid w:val="00695F1D"/>
    <w:rsid w:val="00696D80"/>
    <w:rsid w:val="006970E2"/>
    <w:rsid w:val="006A00F7"/>
    <w:rsid w:val="006A1A7C"/>
    <w:rsid w:val="006A1ADD"/>
    <w:rsid w:val="006A2E2D"/>
    <w:rsid w:val="006A3A36"/>
    <w:rsid w:val="006A4268"/>
    <w:rsid w:val="006A5CAD"/>
    <w:rsid w:val="006A65DE"/>
    <w:rsid w:val="006A7ABC"/>
    <w:rsid w:val="006B0304"/>
    <w:rsid w:val="006B1CA4"/>
    <w:rsid w:val="006B1EAD"/>
    <w:rsid w:val="006B30C3"/>
    <w:rsid w:val="006B319E"/>
    <w:rsid w:val="006B5523"/>
    <w:rsid w:val="006B5907"/>
    <w:rsid w:val="006B5C8A"/>
    <w:rsid w:val="006B63FB"/>
    <w:rsid w:val="006B67D2"/>
    <w:rsid w:val="006B7569"/>
    <w:rsid w:val="006C2AE2"/>
    <w:rsid w:val="006C2B81"/>
    <w:rsid w:val="006C3D6B"/>
    <w:rsid w:val="006C3DE7"/>
    <w:rsid w:val="006C5289"/>
    <w:rsid w:val="006C5D14"/>
    <w:rsid w:val="006C6AC0"/>
    <w:rsid w:val="006C6CA8"/>
    <w:rsid w:val="006C7E76"/>
    <w:rsid w:val="006D0543"/>
    <w:rsid w:val="006D129E"/>
    <w:rsid w:val="006D1F88"/>
    <w:rsid w:val="006D2314"/>
    <w:rsid w:val="006D368F"/>
    <w:rsid w:val="006D41C8"/>
    <w:rsid w:val="006D53C0"/>
    <w:rsid w:val="006D550C"/>
    <w:rsid w:val="006D5828"/>
    <w:rsid w:val="006D5CEF"/>
    <w:rsid w:val="006D610D"/>
    <w:rsid w:val="006D7219"/>
    <w:rsid w:val="006E05C0"/>
    <w:rsid w:val="006E0CA5"/>
    <w:rsid w:val="006E0E82"/>
    <w:rsid w:val="006E108F"/>
    <w:rsid w:val="006E1B8B"/>
    <w:rsid w:val="006E1F1E"/>
    <w:rsid w:val="006E308A"/>
    <w:rsid w:val="006E37A9"/>
    <w:rsid w:val="006E3EC9"/>
    <w:rsid w:val="006E4DC6"/>
    <w:rsid w:val="006E640F"/>
    <w:rsid w:val="006E6FDF"/>
    <w:rsid w:val="006E731C"/>
    <w:rsid w:val="006F0C40"/>
    <w:rsid w:val="006F1A5D"/>
    <w:rsid w:val="006F629D"/>
    <w:rsid w:val="006F7138"/>
    <w:rsid w:val="006F72F9"/>
    <w:rsid w:val="006F7F32"/>
    <w:rsid w:val="00700590"/>
    <w:rsid w:val="0070097E"/>
    <w:rsid w:val="007010D4"/>
    <w:rsid w:val="007014C9"/>
    <w:rsid w:val="00701B9D"/>
    <w:rsid w:val="00701F19"/>
    <w:rsid w:val="00702065"/>
    <w:rsid w:val="00702C65"/>
    <w:rsid w:val="00704BF9"/>
    <w:rsid w:val="0070503E"/>
    <w:rsid w:val="007050D5"/>
    <w:rsid w:val="007053DC"/>
    <w:rsid w:val="00707A7E"/>
    <w:rsid w:val="00710268"/>
    <w:rsid w:val="00712676"/>
    <w:rsid w:val="00712758"/>
    <w:rsid w:val="007137F4"/>
    <w:rsid w:val="00713E7B"/>
    <w:rsid w:val="00714923"/>
    <w:rsid w:val="00717BE7"/>
    <w:rsid w:val="007201FF"/>
    <w:rsid w:val="00720CA2"/>
    <w:rsid w:val="00720F9C"/>
    <w:rsid w:val="00723668"/>
    <w:rsid w:val="00724661"/>
    <w:rsid w:val="007273D9"/>
    <w:rsid w:val="00731484"/>
    <w:rsid w:val="007318D6"/>
    <w:rsid w:val="00732249"/>
    <w:rsid w:val="00732297"/>
    <w:rsid w:val="007330AD"/>
    <w:rsid w:val="007343CC"/>
    <w:rsid w:val="007356C4"/>
    <w:rsid w:val="00735C4F"/>
    <w:rsid w:val="00737BFC"/>
    <w:rsid w:val="00737F85"/>
    <w:rsid w:val="007409EB"/>
    <w:rsid w:val="007412C4"/>
    <w:rsid w:val="00742532"/>
    <w:rsid w:val="007462F7"/>
    <w:rsid w:val="00746607"/>
    <w:rsid w:val="007466B9"/>
    <w:rsid w:val="007504A3"/>
    <w:rsid w:val="00751233"/>
    <w:rsid w:val="0075187A"/>
    <w:rsid w:val="00751EC5"/>
    <w:rsid w:val="0075240B"/>
    <w:rsid w:val="00752DC8"/>
    <w:rsid w:val="00753E20"/>
    <w:rsid w:val="007541D5"/>
    <w:rsid w:val="00755DB1"/>
    <w:rsid w:val="007608A8"/>
    <w:rsid w:val="00760B18"/>
    <w:rsid w:val="00761244"/>
    <w:rsid w:val="00761DB6"/>
    <w:rsid w:val="00764560"/>
    <w:rsid w:val="00764EA1"/>
    <w:rsid w:val="00766C61"/>
    <w:rsid w:val="00766F2B"/>
    <w:rsid w:val="00767509"/>
    <w:rsid w:val="0076755D"/>
    <w:rsid w:val="00767851"/>
    <w:rsid w:val="007703CE"/>
    <w:rsid w:val="00771152"/>
    <w:rsid w:val="00771348"/>
    <w:rsid w:val="007715C1"/>
    <w:rsid w:val="00773333"/>
    <w:rsid w:val="007733B9"/>
    <w:rsid w:val="00776B89"/>
    <w:rsid w:val="00777F87"/>
    <w:rsid w:val="00780E50"/>
    <w:rsid w:val="0078155E"/>
    <w:rsid w:val="00782C9F"/>
    <w:rsid w:val="007836A7"/>
    <w:rsid w:val="00784626"/>
    <w:rsid w:val="00786B40"/>
    <w:rsid w:val="007875E8"/>
    <w:rsid w:val="0079054D"/>
    <w:rsid w:val="00790AA8"/>
    <w:rsid w:val="00792E9A"/>
    <w:rsid w:val="00793E33"/>
    <w:rsid w:val="00794EB7"/>
    <w:rsid w:val="007962A0"/>
    <w:rsid w:val="00796B27"/>
    <w:rsid w:val="007A0C4C"/>
    <w:rsid w:val="007A1328"/>
    <w:rsid w:val="007A19C6"/>
    <w:rsid w:val="007A33BD"/>
    <w:rsid w:val="007A3E6A"/>
    <w:rsid w:val="007A49B8"/>
    <w:rsid w:val="007A4BA0"/>
    <w:rsid w:val="007A4F64"/>
    <w:rsid w:val="007A5DB6"/>
    <w:rsid w:val="007A681A"/>
    <w:rsid w:val="007A7107"/>
    <w:rsid w:val="007A7891"/>
    <w:rsid w:val="007B18E5"/>
    <w:rsid w:val="007B3821"/>
    <w:rsid w:val="007B401C"/>
    <w:rsid w:val="007B62F2"/>
    <w:rsid w:val="007B757B"/>
    <w:rsid w:val="007C028C"/>
    <w:rsid w:val="007C1D4D"/>
    <w:rsid w:val="007C21E8"/>
    <w:rsid w:val="007C2362"/>
    <w:rsid w:val="007C606E"/>
    <w:rsid w:val="007D0164"/>
    <w:rsid w:val="007D0489"/>
    <w:rsid w:val="007D072A"/>
    <w:rsid w:val="007D0E0C"/>
    <w:rsid w:val="007D1830"/>
    <w:rsid w:val="007D2BE7"/>
    <w:rsid w:val="007D37E5"/>
    <w:rsid w:val="007D397A"/>
    <w:rsid w:val="007D3BF8"/>
    <w:rsid w:val="007D4B39"/>
    <w:rsid w:val="007D571F"/>
    <w:rsid w:val="007D5E1B"/>
    <w:rsid w:val="007D642A"/>
    <w:rsid w:val="007D64B6"/>
    <w:rsid w:val="007D799B"/>
    <w:rsid w:val="007E01B1"/>
    <w:rsid w:val="007E058E"/>
    <w:rsid w:val="007E0879"/>
    <w:rsid w:val="007E17D8"/>
    <w:rsid w:val="007E1C3E"/>
    <w:rsid w:val="007E2CC8"/>
    <w:rsid w:val="007E5B1B"/>
    <w:rsid w:val="007E5F95"/>
    <w:rsid w:val="007E7293"/>
    <w:rsid w:val="007E7BC8"/>
    <w:rsid w:val="007F0449"/>
    <w:rsid w:val="007F16E6"/>
    <w:rsid w:val="007F1D63"/>
    <w:rsid w:val="007F2572"/>
    <w:rsid w:val="007F57C1"/>
    <w:rsid w:val="007F6666"/>
    <w:rsid w:val="00800078"/>
    <w:rsid w:val="0080121C"/>
    <w:rsid w:val="0080200D"/>
    <w:rsid w:val="00802079"/>
    <w:rsid w:val="00803700"/>
    <w:rsid w:val="0080438E"/>
    <w:rsid w:val="00804D84"/>
    <w:rsid w:val="00810580"/>
    <w:rsid w:val="008115AD"/>
    <w:rsid w:val="00812345"/>
    <w:rsid w:val="0081415A"/>
    <w:rsid w:val="00814D6E"/>
    <w:rsid w:val="0081533C"/>
    <w:rsid w:val="00815EAB"/>
    <w:rsid w:val="00820BB6"/>
    <w:rsid w:val="0082255B"/>
    <w:rsid w:val="00822766"/>
    <w:rsid w:val="00822B92"/>
    <w:rsid w:val="00822C34"/>
    <w:rsid w:val="00822F81"/>
    <w:rsid w:val="00823BE4"/>
    <w:rsid w:val="008245F4"/>
    <w:rsid w:val="00824D72"/>
    <w:rsid w:val="00824D7F"/>
    <w:rsid w:val="00826889"/>
    <w:rsid w:val="00827A1B"/>
    <w:rsid w:val="00830B09"/>
    <w:rsid w:val="00830E28"/>
    <w:rsid w:val="008326CE"/>
    <w:rsid w:val="008332D8"/>
    <w:rsid w:val="00833898"/>
    <w:rsid w:val="00833C3B"/>
    <w:rsid w:val="00835534"/>
    <w:rsid w:val="008369C1"/>
    <w:rsid w:val="00837469"/>
    <w:rsid w:val="008376FF"/>
    <w:rsid w:val="0084085B"/>
    <w:rsid w:val="00841F5B"/>
    <w:rsid w:val="00846B0C"/>
    <w:rsid w:val="00847302"/>
    <w:rsid w:val="008500D5"/>
    <w:rsid w:val="00852959"/>
    <w:rsid w:val="008544E6"/>
    <w:rsid w:val="0085462D"/>
    <w:rsid w:val="00854A1C"/>
    <w:rsid w:val="00855352"/>
    <w:rsid w:val="008553A1"/>
    <w:rsid w:val="00855511"/>
    <w:rsid w:val="00856E59"/>
    <w:rsid w:val="00857B57"/>
    <w:rsid w:val="00861AF5"/>
    <w:rsid w:val="00863B04"/>
    <w:rsid w:val="00863B1C"/>
    <w:rsid w:val="00863C3F"/>
    <w:rsid w:val="00864CA1"/>
    <w:rsid w:val="00864CD0"/>
    <w:rsid w:val="00864EEC"/>
    <w:rsid w:val="0086569C"/>
    <w:rsid w:val="0086603E"/>
    <w:rsid w:val="00867AA3"/>
    <w:rsid w:val="0087360D"/>
    <w:rsid w:val="00875525"/>
    <w:rsid w:val="008768B9"/>
    <w:rsid w:val="0087754F"/>
    <w:rsid w:val="008823CF"/>
    <w:rsid w:val="008828F8"/>
    <w:rsid w:val="008831DD"/>
    <w:rsid w:val="008847C1"/>
    <w:rsid w:val="008857A4"/>
    <w:rsid w:val="0088697E"/>
    <w:rsid w:val="00887054"/>
    <w:rsid w:val="0089014B"/>
    <w:rsid w:val="00892066"/>
    <w:rsid w:val="00892172"/>
    <w:rsid w:val="00893C80"/>
    <w:rsid w:val="00894724"/>
    <w:rsid w:val="00895339"/>
    <w:rsid w:val="008963D2"/>
    <w:rsid w:val="008966C8"/>
    <w:rsid w:val="00896997"/>
    <w:rsid w:val="0089733A"/>
    <w:rsid w:val="008A04F6"/>
    <w:rsid w:val="008A0CD6"/>
    <w:rsid w:val="008A11B1"/>
    <w:rsid w:val="008A20EB"/>
    <w:rsid w:val="008A2723"/>
    <w:rsid w:val="008A588A"/>
    <w:rsid w:val="008A5CA3"/>
    <w:rsid w:val="008A61DD"/>
    <w:rsid w:val="008A75B5"/>
    <w:rsid w:val="008A7735"/>
    <w:rsid w:val="008B16B5"/>
    <w:rsid w:val="008B1C57"/>
    <w:rsid w:val="008B26B7"/>
    <w:rsid w:val="008B2FC4"/>
    <w:rsid w:val="008B4B60"/>
    <w:rsid w:val="008B4F4D"/>
    <w:rsid w:val="008B5EEF"/>
    <w:rsid w:val="008B73C9"/>
    <w:rsid w:val="008B7CA7"/>
    <w:rsid w:val="008C027A"/>
    <w:rsid w:val="008C0FD1"/>
    <w:rsid w:val="008C1370"/>
    <w:rsid w:val="008C1B50"/>
    <w:rsid w:val="008C1EE6"/>
    <w:rsid w:val="008C30DC"/>
    <w:rsid w:val="008C322D"/>
    <w:rsid w:val="008C416A"/>
    <w:rsid w:val="008C42A4"/>
    <w:rsid w:val="008C45AF"/>
    <w:rsid w:val="008C52AD"/>
    <w:rsid w:val="008C52EC"/>
    <w:rsid w:val="008C5B10"/>
    <w:rsid w:val="008D012B"/>
    <w:rsid w:val="008D0A95"/>
    <w:rsid w:val="008D13AB"/>
    <w:rsid w:val="008D1823"/>
    <w:rsid w:val="008D2794"/>
    <w:rsid w:val="008D3394"/>
    <w:rsid w:val="008D5C38"/>
    <w:rsid w:val="008D783D"/>
    <w:rsid w:val="008D7D4F"/>
    <w:rsid w:val="008D7E46"/>
    <w:rsid w:val="008E0008"/>
    <w:rsid w:val="008E085C"/>
    <w:rsid w:val="008E1B54"/>
    <w:rsid w:val="008E1C63"/>
    <w:rsid w:val="008E209F"/>
    <w:rsid w:val="008E4746"/>
    <w:rsid w:val="008E486B"/>
    <w:rsid w:val="008E5740"/>
    <w:rsid w:val="008E5C7F"/>
    <w:rsid w:val="008E7F50"/>
    <w:rsid w:val="008F0183"/>
    <w:rsid w:val="008F0A74"/>
    <w:rsid w:val="008F0BFC"/>
    <w:rsid w:val="008F13D9"/>
    <w:rsid w:val="008F224F"/>
    <w:rsid w:val="008F22A9"/>
    <w:rsid w:val="008F2588"/>
    <w:rsid w:val="008F2A69"/>
    <w:rsid w:val="008F3560"/>
    <w:rsid w:val="008F35CF"/>
    <w:rsid w:val="008F3784"/>
    <w:rsid w:val="008F6C73"/>
    <w:rsid w:val="008F7D8E"/>
    <w:rsid w:val="00901AC4"/>
    <w:rsid w:val="0090390B"/>
    <w:rsid w:val="0090430F"/>
    <w:rsid w:val="00904692"/>
    <w:rsid w:val="00906461"/>
    <w:rsid w:val="00912363"/>
    <w:rsid w:val="00912981"/>
    <w:rsid w:val="009137D2"/>
    <w:rsid w:val="00916103"/>
    <w:rsid w:val="0092282D"/>
    <w:rsid w:val="009258E1"/>
    <w:rsid w:val="00925BD2"/>
    <w:rsid w:val="00926BDC"/>
    <w:rsid w:val="00926C7F"/>
    <w:rsid w:val="00927829"/>
    <w:rsid w:val="00930242"/>
    <w:rsid w:val="00931462"/>
    <w:rsid w:val="0093260D"/>
    <w:rsid w:val="00933B12"/>
    <w:rsid w:val="00933E20"/>
    <w:rsid w:val="00934505"/>
    <w:rsid w:val="0093752C"/>
    <w:rsid w:val="00940A57"/>
    <w:rsid w:val="009417F3"/>
    <w:rsid w:val="00941E29"/>
    <w:rsid w:val="00943452"/>
    <w:rsid w:val="00943AE0"/>
    <w:rsid w:val="00944D4F"/>
    <w:rsid w:val="009459BD"/>
    <w:rsid w:val="009466A4"/>
    <w:rsid w:val="0094799C"/>
    <w:rsid w:val="009479E6"/>
    <w:rsid w:val="00952F44"/>
    <w:rsid w:val="00953583"/>
    <w:rsid w:val="00954056"/>
    <w:rsid w:val="009544F9"/>
    <w:rsid w:val="00954F6C"/>
    <w:rsid w:val="00955272"/>
    <w:rsid w:val="009562DC"/>
    <w:rsid w:val="009570FA"/>
    <w:rsid w:val="0096082E"/>
    <w:rsid w:val="0096291E"/>
    <w:rsid w:val="00962D29"/>
    <w:rsid w:val="009640AE"/>
    <w:rsid w:val="0096574B"/>
    <w:rsid w:val="00965C4C"/>
    <w:rsid w:val="00967371"/>
    <w:rsid w:val="009673C0"/>
    <w:rsid w:val="00967A4C"/>
    <w:rsid w:val="00970131"/>
    <w:rsid w:val="00970F5C"/>
    <w:rsid w:val="00971BB7"/>
    <w:rsid w:val="00971D30"/>
    <w:rsid w:val="009726E0"/>
    <w:rsid w:val="00973196"/>
    <w:rsid w:val="00974564"/>
    <w:rsid w:val="00975E58"/>
    <w:rsid w:val="009770FD"/>
    <w:rsid w:val="00981FAB"/>
    <w:rsid w:val="009836C3"/>
    <w:rsid w:val="00983FA0"/>
    <w:rsid w:val="009841A2"/>
    <w:rsid w:val="00986BB6"/>
    <w:rsid w:val="00987147"/>
    <w:rsid w:val="009876B7"/>
    <w:rsid w:val="00987F63"/>
    <w:rsid w:val="00990CEE"/>
    <w:rsid w:val="00990E6D"/>
    <w:rsid w:val="00990F67"/>
    <w:rsid w:val="00992203"/>
    <w:rsid w:val="00992C0B"/>
    <w:rsid w:val="009949EC"/>
    <w:rsid w:val="009949FE"/>
    <w:rsid w:val="00994C12"/>
    <w:rsid w:val="009960DF"/>
    <w:rsid w:val="0099622F"/>
    <w:rsid w:val="00996264"/>
    <w:rsid w:val="009963FD"/>
    <w:rsid w:val="0099653E"/>
    <w:rsid w:val="00996F8B"/>
    <w:rsid w:val="0099750D"/>
    <w:rsid w:val="009A023C"/>
    <w:rsid w:val="009A0E24"/>
    <w:rsid w:val="009A160C"/>
    <w:rsid w:val="009A21D4"/>
    <w:rsid w:val="009A394C"/>
    <w:rsid w:val="009A402A"/>
    <w:rsid w:val="009A6C37"/>
    <w:rsid w:val="009B0F47"/>
    <w:rsid w:val="009B316E"/>
    <w:rsid w:val="009B3345"/>
    <w:rsid w:val="009B3367"/>
    <w:rsid w:val="009B5039"/>
    <w:rsid w:val="009B586C"/>
    <w:rsid w:val="009B5B4C"/>
    <w:rsid w:val="009B5FF9"/>
    <w:rsid w:val="009B6C2C"/>
    <w:rsid w:val="009B6C92"/>
    <w:rsid w:val="009C1106"/>
    <w:rsid w:val="009C119C"/>
    <w:rsid w:val="009C14AB"/>
    <w:rsid w:val="009C1757"/>
    <w:rsid w:val="009C38B1"/>
    <w:rsid w:val="009C52D0"/>
    <w:rsid w:val="009C56D6"/>
    <w:rsid w:val="009C7081"/>
    <w:rsid w:val="009C760F"/>
    <w:rsid w:val="009C7700"/>
    <w:rsid w:val="009D157C"/>
    <w:rsid w:val="009D1FCE"/>
    <w:rsid w:val="009D2DFF"/>
    <w:rsid w:val="009D3D7D"/>
    <w:rsid w:val="009D45D3"/>
    <w:rsid w:val="009D462B"/>
    <w:rsid w:val="009D4B9F"/>
    <w:rsid w:val="009D5552"/>
    <w:rsid w:val="009E09A5"/>
    <w:rsid w:val="009E1353"/>
    <w:rsid w:val="009E144A"/>
    <w:rsid w:val="009E14D2"/>
    <w:rsid w:val="009E187E"/>
    <w:rsid w:val="009E1C1E"/>
    <w:rsid w:val="009E2AA2"/>
    <w:rsid w:val="009E324E"/>
    <w:rsid w:val="009E54C9"/>
    <w:rsid w:val="009E5B5F"/>
    <w:rsid w:val="009E5C48"/>
    <w:rsid w:val="009E6F5F"/>
    <w:rsid w:val="009F1121"/>
    <w:rsid w:val="009F29C4"/>
    <w:rsid w:val="009F39B0"/>
    <w:rsid w:val="009F3B6B"/>
    <w:rsid w:val="009F3BAF"/>
    <w:rsid w:val="009F455C"/>
    <w:rsid w:val="009F4BAE"/>
    <w:rsid w:val="009F5078"/>
    <w:rsid w:val="009F60C1"/>
    <w:rsid w:val="009F628C"/>
    <w:rsid w:val="009F6D6F"/>
    <w:rsid w:val="009F6EE2"/>
    <w:rsid w:val="009F71DD"/>
    <w:rsid w:val="00A0178D"/>
    <w:rsid w:val="00A04D62"/>
    <w:rsid w:val="00A06042"/>
    <w:rsid w:val="00A06A12"/>
    <w:rsid w:val="00A07030"/>
    <w:rsid w:val="00A077D0"/>
    <w:rsid w:val="00A07E62"/>
    <w:rsid w:val="00A110D0"/>
    <w:rsid w:val="00A113C6"/>
    <w:rsid w:val="00A12A4C"/>
    <w:rsid w:val="00A12F20"/>
    <w:rsid w:val="00A12FB2"/>
    <w:rsid w:val="00A15DA6"/>
    <w:rsid w:val="00A16A7F"/>
    <w:rsid w:val="00A17649"/>
    <w:rsid w:val="00A20DBF"/>
    <w:rsid w:val="00A239AB"/>
    <w:rsid w:val="00A23A8B"/>
    <w:rsid w:val="00A247B9"/>
    <w:rsid w:val="00A25A01"/>
    <w:rsid w:val="00A335B5"/>
    <w:rsid w:val="00A33C4E"/>
    <w:rsid w:val="00A34706"/>
    <w:rsid w:val="00A3663D"/>
    <w:rsid w:val="00A37C33"/>
    <w:rsid w:val="00A404AF"/>
    <w:rsid w:val="00A40DA9"/>
    <w:rsid w:val="00A41D7F"/>
    <w:rsid w:val="00A42735"/>
    <w:rsid w:val="00A435B7"/>
    <w:rsid w:val="00A4539C"/>
    <w:rsid w:val="00A46136"/>
    <w:rsid w:val="00A50221"/>
    <w:rsid w:val="00A50480"/>
    <w:rsid w:val="00A50738"/>
    <w:rsid w:val="00A50DEE"/>
    <w:rsid w:val="00A5255B"/>
    <w:rsid w:val="00A531F8"/>
    <w:rsid w:val="00A53635"/>
    <w:rsid w:val="00A54438"/>
    <w:rsid w:val="00A5486A"/>
    <w:rsid w:val="00A54A95"/>
    <w:rsid w:val="00A56AF5"/>
    <w:rsid w:val="00A600CB"/>
    <w:rsid w:val="00A604E2"/>
    <w:rsid w:val="00A605C5"/>
    <w:rsid w:val="00A62BB9"/>
    <w:rsid w:val="00A63762"/>
    <w:rsid w:val="00A659CC"/>
    <w:rsid w:val="00A65EE9"/>
    <w:rsid w:val="00A6606C"/>
    <w:rsid w:val="00A7027E"/>
    <w:rsid w:val="00A70E4B"/>
    <w:rsid w:val="00A71D21"/>
    <w:rsid w:val="00A7215F"/>
    <w:rsid w:val="00A729C7"/>
    <w:rsid w:val="00A73230"/>
    <w:rsid w:val="00A74693"/>
    <w:rsid w:val="00A74B57"/>
    <w:rsid w:val="00A751EF"/>
    <w:rsid w:val="00A75484"/>
    <w:rsid w:val="00A77312"/>
    <w:rsid w:val="00A774F2"/>
    <w:rsid w:val="00A77C94"/>
    <w:rsid w:val="00A77EB1"/>
    <w:rsid w:val="00A80287"/>
    <w:rsid w:val="00A8083D"/>
    <w:rsid w:val="00A810CB"/>
    <w:rsid w:val="00A85E8F"/>
    <w:rsid w:val="00A861C1"/>
    <w:rsid w:val="00A86D11"/>
    <w:rsid w:val="00A9176B"/>
    <w:rsid w:val="00A91BCA"/>
    <w:rsid w:val="00A9278C"/>
    <w:rsid w:val="00A92C1C"/>
    <w:rsid w:val="00A935B1"/>
    <w:rsid w:val="00A941C6"/>
    <w:rsid w:val="00A94426"/>
    <w:rsid w:val="00A9518F"/>
    <w:rsid w:val="00A95B87"/>
    <w:rsid w:val="00A95C7E"/>
    <w:rsid w:val="00A95E1B"/>
    <w:rsid w:val="00A9676D"/>
    <w:rsid w:val="00A96B4F"/>
    <w:rsid w:val="00AA0722"/>
    <w:rsid w:val="00AA0C11"/>
    <w:rsid w:val="00AA27F4"/>
    <w:rsid w:val="00AA34FC"/>
    <w:rsid w:val="00AA489C"/>
    <w:rsid w:val="00AA4ACC"/>
    <w:rsid w:val="00AA4C00"/>
    <w:rsid w:val="00AA6720"/>
    <w:rsid w:val="00AA6832"/>
    <w:rsid w:val="00AA7B98"/>
    <w:rsid w:val="00AB09A5"/>
    <w:rsid w:val="00AB2CBE"/>
    <w:rsid w:val="00AB2EE4"/>
    <w:rsid w:val="00AB321E"/>
    <w:rsid w:val="00AB3396"/>
    <w:rsid w:val="00AB3CF4"/>
    <w:rsid w:val="00AB3ED6"/>
    <w:rsid w:val="00AB457E"/>
    <w:rsid w:val="00AB48AC"/>
    <w:rsid w:val="00AB4FF7"/>
    <w:rsid w:val="00AB5024"/>
    <w:rsid w:val="00AB5442"/>
    <w:rsid w:val="00AB5941"/>
    <w:rsid w:val="00AB71BF"/>
    <w:rsid w:val="00AB7E9A"/>
    <w:rsid w:val="00AC1397"/>
    <w:rsid w:val="00AC2003"/>
    <w:rsid w:val="00AC2A5E"/>
    <w:rsid w:val="00AC3720"/>
    <w:rsid w:val="00AC405A"/>
    <w:rsid w:val="00AC6D8E"/>
    <w:rsid w:val="00AC7329"/>
    <w:rsid w:val="00AD04E1"/>
    <w:rsid w:val="00AD18E9"/>
    <w:rsid w:val="00AD25D5"/>
    <w:rsid w:val="00AD2F18"/>
    <w:rsid w:val="00AD5205"/>
    <w:rsid w:val="00AD6049"/>
    <w:rsid w:val="00AD7E9F"/>
    <w:rsid w:val="00AE214D"/>
    <w:rsid w:val="00AE6526"/>
    <w:rsid w:val="00AE65DE"/>
    <w:rsid w:val="00AE69FF"/>
    <w:rsid w:val="00AE7598"/>
    <w:rsid w:val="00AE7EE4"/>
    <w:rsid w:val="00AF0A9E"/>
    <w:rsid w:val="00AF1947"/>
    <w:rsid w:val="00AF19BF"/>
    <w:rsid w:val="00AF1C85"/>
    <w:rsid w:val="00AF1D32"/>
    <w:rsid w:val="00AF242C"/>
    <w:rsid w:val="00AF409B"/>
    <w:rsid w:val="00AF4578"/>
    <w:rsid w:val="00AF480C"/>
    <w:rsid w:val="00AF4929"/>
    <w:rsid w:val="00AF4FB6"/>
    <w:rsid w:val="00B00710"/>
    <w:rsid w:val="00B0244D"/>
    <w:rsid w:val="00B02C6E"/>
    <w:rsid w:val="00B04C66"/>
    <w:rsid w:val="00B11696"/>
    <w:rsid w:val="00B1462B"/>
    <w:rsid w:val="00B17000"/>
    <w:rsid w:val="00B22C0D"/>
    <w:rsid w:val="00B25FC5"/>
    <w:rsid w:val="00B26020"/>
    <w:rsid w:val="00B271E5"/>
    <w:rsid w:val="00B27C93"/>
    <w:rsid w:val="00B30165"/>
    <w:rsid w:val="00B30C62"/>
    <w:rsid w:val="00B31D4C"/>
    <w:rsid w:val="00B32DA1"/>
    <w:rsid w:val="00B332D5"/>
    <w:rsid w:val="00B3395B"/>
    <w:rsid w:val="00B366AF"/>
    <w:rsid w:val="00B36DFE"/>
    <w:rsid w:val="00B3714D"/>
    <w:rsid w:val="00B379E4"/>
    <w:rsid w:val="00B37C08"/>
    <w:rsid w:val="00B45BDC"/>
    <w:rsid w:val="00B50116"/>
    <w:rsid w:val="00B50A29"/>
    <w:rsid w:val="00B5438C"/>
    <w:rsid w:val="00B564CE"/>
    <w:rsid w:val="00B56B53"/>
    <w:rsid w:val="00B605FF"/>
    <w:rsid w:val="00B6136D"/>
    <w:rsid w:val="00B61AF6"/>
    <w:rsid w:val="00B624C8"/>
    <w:rsid w:val="00B62AB2"/>
    <w:rsid w:val="00B633C0"/>
    <w:rsid w:val="00B6353D"/>
    <w:rsid w:val="00B641A7"/>
    <w:rsid w:val="00B6457F"/>
    <w:rsid w:val="00B646F4"/>
    <w:rsid w:val="00B650DD"/>
    <w:rsid w:val="00B6674A"/>
    <w:rsid w:val="00B70BD1"/>
    <w:rsid w:val="00B70C46"/>
    <w:rsid w:val="00B70F2D"/>
    <w:rsid w:val="00B71D1F"/>
    <w:rsid w:val="00B72623"/>
    <w:rsid w:val="00B727E6"/>
    <w:rsid w:val="00B73D73"/>
    <w:rsid w:val="00B7412F"/>
    <w:rsid w:val="00B7465C"/>
    <w:rsid w:val="00B74CC4"/>
    <w:rsid w:val="00B751BF"/>
    <w:rsid w:val="00B76AA3"/>
    <w:rsid w:val="00B808F2"/>
    <w:rsid w:val="00B80963"/>
    <w:rsid w:val="00B809B0"/>
    <w:rsid w:val="00B82B97"/>
    <w:rsid w:val="00B82E21"/>
    <w:rsid w:val="00B85815"/>
    <w:rsid w:val="00B861C2"/>
    <w:rsid w:val="00B8750D"/>
    <w:rsid w:val="00B87569"/>
    <w:rsid w:val="00B87B6D"/>
    <w:rsid w:val="00B901FA"/>
    <w:rsid w:val="00B90670"/>
    <w:rsid w:val="00B9073B"/>
    <w:rsid w:val="00B90A8A"/>
    <w:rsid w:val="00B91680"/>
    <w:rsid w:val="00B916FB"/>
    <w:rsid w:val="00B923E6"/>
    <w:rsid w:val="00B92D44"/>
    <w:rsid w:val="00B92F5B"/>
    <w:rsid w:val="00B93DA7"/>
    <w:rsid w:val="00B9737D"/>
    <w:rsid w:val="00B97FDE"/>
    <w:rsid w:val="00BA13AA"/>
    <w:rsid w:val="00BA1668"/>
    <w:rsid w:val="00BA1CA6"/>
    <w:rsid w:val="00BA3970"/>
    <w:rsid w:val="00BA3E59"/>
    <w:rsid w:val="00BA5BAC"/>
    <w:rsid w:val="00BA62FD"/>
    <w:rsid w:val="00BB12E8"/>
    <w:rsid w:val="00BB1785"/>
    <w:rsid w:val="00BB27BD"/>
    <w:rsid w:val="00BB3EAB"/>
    <w:rsid w:val="00BB46A0"/>
    <w:rsid w:val="00BB5B29"/>
    <w:rsid w:val="00BB6BA6"/>
    <w:rsid w:val="00BB76F8"/>
    <w:rsid w:val="00BC1FE6"/>
    <w:rsid w:val="00BC2C75"/>
    <w:rsid w:val="00BC40CB"/>
    <w:rsid w:val="00BC5078"/>
    <w:rsid w:val="00BC6723"/>
    <w:rsid w:val="00BC69F5"/>
    <w:rsid w:val="00BD1567"/>
    <w:rsid w:val="00BD36E5"/>
    <w:rsid w:val="00BD3AC4"/>
    <w:rsid w:val="00BD3E03"/>
    <w:rsid w:val="00BD52B6"/>
    <w:rsid w:val="00BD56DC"/>
    <w:rsid w:val="00BD6F88"/>
    <w:rsid w:val="00BD7DEF"/>
    <w:rsid w:val="00BE005A"/>
    <w:rsid w:val="00BE0D4B"/>
    <w:rsid w:val="00BE2003"/>
    <w:rsid w:val="00BE3245"/>
    <w:rsid w:val="00BE7C4C"/>
    <w:rsid w:val="00BF149E"/>
    <w:rsid w:val="00BF4076"/>
    <w:rsid w:val="00BF4270"/>
    <w:rsid w:val="00BF4317"/>
    <w:rsid w:val="00BF482C"/>
    <w:rsid w:val="00BF4952"/>
    <w:rsid w:val="00BF4F5D"/>
    <w:rsid w:val="00BF4F6E"/>
    <w:rsid w:val="00BF5C28"/>
    <w:rsid w:val="00BF6F93"/>
    <w:rsid w:val="00BF7498"/>
    <w:rsid w:val="00C01483"/>
    <w:rsid w:val="00C0170B"/>
    <w:rsid w:val="00C019D7"/>
    <w:rsid w:val="00C0464C"/>
    <w:rsid w:val="00C058E7"/>
    <w:rsid w:val="00C06284"/>
    <w:rsid w:val="00C07B8B"/>
    <w:rsid w:val="00C11C01"/>
    <w:rsid w:val="00C12737"/>
    <w:rsid w:val="00C138AA"/>
    <w:rsid w:val="00C14551"/>
    <w:rsid w:val="00C1489C"/>
    <w:rsid w:val="00C14A83"/>
    <w:rsid w:val="00C14ADC"/>
    <w:rsid w:val="00C14CBB"/>
    <w:rsid w:val="00C14D48"/>
    <w:rsid w:val="00C168B1"/>
    <w:rsid w:val="00C16C57"/>
    <w:rsid w:val="00C16DFB"/>
    <w:rsid w:val="00C17E24"/>
    <w:rsid w:val="00C20119"/>
    <w:rsid w:val="00C20635"/>
    <w:rsid w:val="00C2080A"/>
    <w:rsid w:val="00C20920"/>
    <w:rsid w:val="00C21A44"/>
    <w:rsid w:val="00C22317"/>
    <w:rsid w:val="00C2355A"/>
    <w:rsid w:val="00C23CF2"/>
    <w:rsid w:val="00C23DEC"/>
    <w:rsid w:val="00C2768E"/>
    <w:rsid w:val="00C30F5C"/>
    <w:rsid w:val="00C317E8"/>
    <w:rsid w:val="00C3297F"/>
    <w:rsid w:val="00C32B84"/>
    <w:rsid w:val="00C33A80"/>
    <w:rsid w:val="00C33EAC"/>
    <w:rsid w:val="00C3421A"/>
    <w:rsid w:val="00C346CC"/>
    <w:rsid w:val="00C34FB3"/>
    <w:rsid w:val="00C3716B"/>
    <w:rsid w:val="00C37F41"/>
    <w:rsid w:val="00C40636"/>
    <w:rsid w:val="00C40E14"/>
    <w:rsid w:val="00C43A28"/>
    <w:rsid w:val="00C44A4E"/>
    <w:rsid w:val="00C44E49"/>
    <w:rsid w:val="00C45046"/>
    <w:rsid w:val="00C45474"/>
    <w:rsid w:val="00C46430"/>
    <w:rsid w:val="00C4682A"/>
    <w:rsid w:val="00C519F4"/>
    <w:rsid w:val="00C52CC1"/>
    <w:rsid w:val="00C52E89"/>
    <w:rsid w:val="00C53754"/>
    <w:rsid w:val="00C544D0"/>
    <w:rsid w:val="00C551F9"/>
    <w:rsid w:val="00C56198"/>
    <w:rsid w:val="00C5753B"/>
    <w:rsid w:val="00C57F0E"/>
    <w:rsid w:val="00C60784"/>
    <w:rsid w:val="00C61593"/>
    <w:rsid w:val="00C61957"/>
    <w:rsid w:val="00C61D9E"/>
    <w:rsid w:val="00C620B2"/>
    <w:rsid w:val="00C62119"/>
    <w:rsid w:val="00C6392E"/>
    <w:rsid w:val="00C639CA"/>
    <w:rsid w:val="00C63AEB"/>
    <w:rsid w:val="00C64593"/>
    <w:rsid w:val="00C6501B"/>
    <w:rsid w:val="00C65E91"/>
    <w:rsid w:val="00C66AD2"/>
    <w:rsid w:val="00C674BC"/>
    <w:rsid w:val="00C6799C"/>
    <w:rsid w:val="00C722A7"/>
    <w:rsid w:val="00C72628"/>
    <w:rsid w:val="00C72D5C"/>
    <w:rsid w:val="00C73145"/>
    <w:rsid w:val="00C73652"/>
    <w:rsid w:val="00C7467F"/>
    <w:rsid w:val="00C74D82"/>
    <w:rsid w:val="00C75E60"/>
    <w:rsid w:val="00C774D2"/>
    <w:rsid w:val="00C80025"/>
    <w:rsid w:val="00C80543"/>
    <w:rsid w:val="00C81765"/>
    <w:rsid w:val="00C82039"/>
    <w:rsid w:val="00C8597D"/>
    <w:rsid w:val="00C85E08"/>
    <w:rsid w:val="00C9173F"/>
    <w:rsid w:val="00C91B13"/>
    <w:rsid w:val="00C91CEE"/>
    <w:rsid w:val="00C9250D"/>
    <w:rsid w:val="00C92E26"/>
    <w:rsid w:val="00C962AF"/>
    <w:rsid w:val="00C967B6"/>
    <w:rsid w:val="00C96FA6"/>
    <w:rsid w:val="00C9719E"/>
    <w:rsid w:val="00CA0C2E"/>
    <w:rsid w:val="00CA0E16"/>
    <w:rsid w:val="00CA1ED7"/>
    <w:rsid w:val="00CA2821"/>
    <w:rsid w:val="00CA28A4"/>
    <w:rsid w:val="00CA5C9E"/>
    <w:rsid w:val="00CA5CA3"/>
    <w:rsid w:val="00CA6ACA"/>
    <w:rsid w:val="00CB15B5"/>
    <w:rsid w:val="00CB3623"/>
    <w:rsid w:val="00CB4579"/>
    <w:rsid w:val="00CB46EC"/>
    <w:rsid w:val="00CB4DF9"/>
    <w:rsid w:val="00CB5724"/>
    <w:rsid w:val="00CB5BF6"/>
    <w:rsid w:val="00CB5CB6"/>
    <w:rsid w:val="00CB5DFF"/>
    <w:rsid w:val="00CB5FE2"/>
    <w:rsid w:val="00CB661C"/>
    <w:rsid w:val="00CB6F5F"/>
    <w:rsid w:val="00CB7134"/>
    <w:rsid w:val="00CB7E5C"/>
    <w:rsid w:val="00CC01AC"/>
    <w:rsid w:val="00CC089C"/>
    <w:rsid w:val="00CC2544"/>
    <w:rsid w:val="00CC2FC5"/>
    <w:rsid w:val="00CC4A74"/>
    <w:rsid w:val="00CC4F34"/>
    <w:rsid w:val="00CC65C0"/>
    <w:rsid w:val="00CC68B5"/>
    <w:rsid w:val="00CC6D0C"/>
    <w:rsid w:val="00CC7DA4"/>
    <w:rsid w:val="00CD0443"/>
    <w:rsid w:val="00CD0F8E"/>
    <w:rsid w:val="00CD156B"/>
    <w:rsid w:val="00CD3A1A"/>
    <w:rsid w:val="00CD4BD1"/>
    <w:rsid w:val="00CD5C6C"/>
    <w:rsid w:val="00CD6350"/>
    <w:rsid w:val="00CD72D3"/>
    <w:rsid w:val="00CD76FB"/>
    <w:rsid w:val="00CD7C2E"/>
    <w:rsid w:val="00CE051D"/>
    <w:rsid w:val="00CE10C2"/>
    <w:rsid w:val="00CE12F6"/>
    <w:rsid w:val="00CE35FB"/>
    <w:rsid w:val="00CE4696"/>
    <w:rsid w:val="00CE5BAB"/>
    <w:rsid w:val="00CE5EC1"/>
    <w:rsid w:val="00CE60C4"/>
    <w:rsid w:val="00CE683F"/>
    <w:rsid w:val="00CE7140"/>
    <w:rsid w:val="00CF08EE"/>
    <w:rsid w:val="00CF0D04"/>
    <w:rsid w:val="00CF1AAE"/>
    <w:rsid w:val="00CF1D17"/>
    <w:rsid w:val="00CF20B1"/>
    <w:rsid w:val="00CF43A4"/>
    <w:rsid w:val="00CF5006"/>
    <w:rsid w:val="00CF53E6"/>
    <w:rsid w:val="00CF55CE"/>
    <w:rsid w:val="00CF5B2F"/>
    <w:rsid w:val="00CF69DD"/>
    <w:rsid w:val="00CF6BCA"/>
    <w:rsid w:val="00CF715C"/>
    <w:rsid w:val="00CF7827"/>
    <w:rsid w:val="00D0327B"/>
    <w:rsid w:val="00D062F4"/>
    <w:rsid w:val="00D06DAA"/>
    <w:rsid w:val="00D10F2D"/>
    <w:rsid w:val="00D1177F"/>
    <w:rsid w:val="00D1322B"/>
    <w:rsid w:val="00D13F80"/>
    <w:rsid w:val="00D14281"/>
    <w:rsid w:val="00D14978"/>
    <w:rsid w:val="00D1542A"/>
    <w:rsid w:val="00D171D9"/>
    <w:rsid w:val="00D2018E"/>
    <w:rsid w:val="00D21AD0"/>
    <w:rsid w:val="00D22041"/>
    <w:rsid w:val="00D22A3C"/>
    <w:rsid w:val="00D2323A"/>
    <w:rsid w:val="00D23459"/>
    <w:rsid w:val="00D23C12"/>
    <w:rsid w:val="00D24AF0"/>
    <w:rsid w:val="00D24C5D"/>
    <w:rsid w:val="00D24CDD"/>
    <w:rsid w:val="00D24FBD"/>
    <w:rsid w:val="00D25E05"/>
    <w:rsid w:val="00D26304"/>
    <w:rsid w:val="00D265D4"/>
    <w:rsid w:val="00D26BE7"/>
    <w:rsid w:val="00D304AE"/>
    <w:rsid w:val="00D30E87"/>
    <w:rsid w:val="00D30FBA"/>
    <w:rsid w:val="00D314A9"/>
    <w:rsid w:val="00D31B30"/>
    <w:rsid w:val="00D31E08"/>
    <w:rsid w:val="00D32754"/>
    <w:rsid w:val="00D33250"/>
    <w:rsid w:val="00D34648"/>
    <w:rsid w:val="00D35CA4"/>
    <w:rsid w:val="00D364F3"/>
    <w:rsid w:val="00D36E94"/>
    <w:rsid w:val="00D411F0"/>
    <w:rsid w:val="00D41D7B"/>
    <w:rsid w:val="00D436B7"/>
    <w:rsid w:val="00D45367"/>
    <w:rsid w:val="00D45F43"/>
    <w:rsid w:val="00D472F9"/>
    <w:rsid w:val="00D50E42"/>
    <w:rsid w:val="00D5114D"/>
    <w:rsid w:val="00D51737"/>
    <w:rsid w:val="00D520A8"/>
    <w:rsid w:val="00D52865"/>
    <w:rsid w:val="00D532BE"/>
    <w:rsid w:val="00D555F0"/>
    <w:rsid w:val="00D5648B"/>
    <w:rsid w:val="00D566D7"/>
    <w:rsid w:val="00D56814"/>
    <w:rsid w:val="00D575A7"/>
    <w:rsid w:val="00D608B3"/>
    <w:rsid w:val="00D61FEB"/>
    <w:rsid w:val="00D62496"/>
    <w:rsid w:val="00D63202"/>
    <w:rsid w:val="00D638F7"/>
    <w:rsid w:val="00D63C29"/>
    <w:rsid w:val="00D6503F"/>
    <w:rsid w:val="00D6595C"/>
    <w:rsid w:val="00D66498"/>
    <w:rsid w:val="00D671AD"/>
    <w:rsid w:val="00D70A5A"/>
    <w:rsid w:val="00D70DD5"/>
    <w:rsid w:val="00D72ACF"/>
    <w:rsid w:val="00D73855"/>
    <w:rsid w:val="00D75262"/>
    <w:rsid w:val="00D75443"/>
    <w:rsid w:val="00D754B2"/>
    <w:rsid w:val="00D76D44"/>
    <w:rsid w:val="00D818F6"/>
    <w:rsid w:val="00D819E9"/>
    <w:rsid w:val="00D82D1B"/>
    <w:rsid w:val="00D843A5"/>
    <w:rsid w:val="00D848E5"/>
    <w:rsid w:val="00D84C16"/>
    <w:rsid w:val="00D853D0"/>
    <w:rsid w:val="00D8577A"/>
    <w:rsid w:val="00D85843"/>
    <w:rsid w:val="00D8653B"/>
    <w:rsid w:val="00D87A95"/>
    <w:rsid w:val="00D91AA7"/>
    <w:rsid w:val="00D925AF"/>
    <w:rsid w:val="00D93E32"/>
    <w:rsid w:val="00D94438"/>
    <w:rsid w:val="00D954EF"/>
    <w:rsid w:val="00D95F82"/>
    <w:rsid w:val="00D9670F"/>
    <w:rsid w:val="00D9688F"/>
    <w:rsid w:val="00D97209"/>
    <w:rsid w:val="00DA0E93"/>
    <w:rsid w:val="00DA1FD7"/>
    <w:rsid w:val="00DA24F9"/>
    <w:rsid w:val="00DA2C49"/>
    <w:rsid w:val="00DA3231"/>
    <w:rsid w:val="00DA3252"/>
    <w:rsid w:val="00DA5683"/>
    <w:rsid w:val="00DA7C45"/>
    <w:rsid w:val="00DB0C9A"/>
    <w:rsid w:val="00DB237C"/>
    <w:rsid w:val="00DB757F"/>
    <w:rsid w:val="00DC0EA0"/>
    <w:rsid w:val="00DC38C7"/>
    <w:rsid w:val="00DC3D3F"/>
    <w:rsid w:val="00DC483E"/>
    <w:rsid w:val="00DC594E"/>
    <w:rsid w:val="00DC5E07"/>
    <w:rsid w:val="00DC7B5E"/>
    <w:rsid w:val="00DD0930"/>
    <w:rsid w:val="00DD12FA"/>
    <w:rsid w:val="00DD27BF"/>
    <w:rsid w:val="00DD3080"/>
    <w:rsid w:val="00DD3DB1"/>
    <w:rsid w:val="00DD59F2"/>
    <w:rsid w:val="00DD7BB6"/>
    <w:rsid w:val="00DE0C29"/>
    <w:rsid w:val="00DE19F9"/>
    <w:rsid w:val="00DE1FB0"/>
    <w:rsid w:val="00DE22C6"/>
    <w:rsid w:val="00DE240F"/>
    <w:rsid w:val="00DE36A6"/>
    <w:rsid w:val="00DE4111"/>
    <w:rsid w:val="00DE421E"/>
    <w:rsid w:val="00DE4BB2"/>
    <w:rsid w:val="00DE5FA6"/>
    <w:rsid w:val="00DF03E1"/>
    <w:rsid w:val="00DF04A6"/>
    <w:rsid w:val="00DF1281"/>
    <w:rsid w:val="00DF1C4C"/>
    <w:rsid w:val="00DF3CA5"/>
    <w:rsid w:val="00DF3CD9"/>
    <w:rsid w:val="00DF404E"/>
    <w:rsid w:val="00DF68D4"/>
    <w:rsid w:val="00DF7EA7"/>
    <w:rsid w:val="00E013E8"/>
    <w:rsid w:val="00E0145B"/>
    <w:rsid w:val="00E03EB0"/>
    <w:rsid w:val="00E0404D"/>
    <w:rsid w:val="00E04848"/>
    <w:rsid w:val="00E0579C"/>
    <w:rsid w:val="00E07329"/>
    <w:rsid w:val="00E07571"/>
    <w:rsid w:val="00E07F39"/>
    <w:rsid w:val="00E10627"/>
    <w:rsid w:val="00E110F4"/>
    <w:rsid w:val="00E115B7"/>
    <w:rsid w:val="00E121F1"/>
    <w:rsid w:val="00E12AEC"/>
    <w:rsid w:val="00E155FC"/>
    <w:rsid w:val="00E16CA6"/>
    <w:rsid w:val="00E202A1"/>
    <w:rsid w:val="00E20545"/>
    <w:rsid w:val="00E2062A"/>
    <w:rsid w:val="00E20636"/>
    <w:rsid w:val="00E23530"/>
    <w:rsid w:val="00E24885"/>
    <w:rsid w:val="00E26518"/>
    <w:rsid w:val="00E26CE9"/>
    <w:rsid w:val="00E277C0"/>
    <w:rsid w:val="00E27887"/>
    <w:rsid w:val="00E27BFA"/>
    <w:rsid w:val="00E312CA"/>
    <w:rsid w:val="00E32A9D"/>
    <w:rsid w:val="00E32AC4"/>
    <w:rsid w:val="00E33183"/>
    <w:rsid w:val="00E33F02"/>
    <w:rsid w:val="00E34F9D"/>
    <w:rsid w:val="00E3569C"/>
    <w:rsid w:val="00E35C93"/>
    <w:rsid w:val="00E36A8B"/>
    <w:rsid w:val="00E372CF"/>
    <w:rsid w:val="00E4099D"/>
    <w:rsid w:val="00E428F8"/>
    <w:rsid w:val="00E42ECA"/>
    <w:rsid w:val="00E467D1"/>
    <w:rsid w:val="00E46F0A"/>
    <w:rsid w:val="00E47102"/>
    <w:rsid w:val="00E47D72"/>
    <w:rsid w:val="00E514D0"/>
    <w:rsid w:val="00E51C6B"/>
    <w:rsid w:val="00E52332"/>
    <w:rsid w:val="00E52BD6"/>
    <w:rsid w:val="00E537D6"/>
    <w:rsid w:val="00E54768"/>
    <w:rsid w:val="00E54DD6"/>
    <w:rsid w:val="00E54E33"/>
    <w:rsid w:val="00E5596A"/>
    <w:rsid w:val="00E55FFE"/>
    <w:rsid w:val="00E570DF"/>
    <w:rsid w:val="00E61AEA"/>
    <w:rsid w:val="00E62F5B"/>
    <w:rsid w:val="00E636D4"/>
    <w:rsid w:val="00E6482C"/>
    <w:rsid w:val="00E656A2"/>
    <w:rsid w:val="00E666CD"/>
    <w:rsid w:val="00E66F1B"/>
    <w:rsid w:val="00E678D7"/>
    <w:rsid w:val="00E71EF6"/>
    <w:rsid w:val="00E724A8"/>
    <w:rsid w:val="00E72D8F"/>
    <w:rsid w:val="00E7392C"/>
    <w:rsid w:val="00E73CEB"/>
    <w:rsid w:val="00E75FAD"/>
    <w:rsid w:val="00E77333"/>
    <w:rsid w:val="00E80545"/>
    <w:rsid w:val="00E8106C"/>
    <w:rsid w:val="00E81F49"/>
    <w:rsid w:val="00E82496"/>
    <w:rsid w:val="00E82854"/>
    <w:rsid w:val="00E85350"/>
    <w:rsid w:val="00E86F27"/>
    <w:rsid w:val="00E900A5"/>
    <w:rsid w:val="00E907AC"/>
    <w:rsid w:val="00E91AD3"/>
    <w:rsid w:val="00E91C55"/>
    <w:rsid w:val="00E92715"/>
    <w:rsid w:val="00E929C4"/>
    <w:rsid w:val="00E93E00"/>
    <w:rsid w:val="00E95EE1"/>
    <w:rsid w:val="00EA0217"/>
    <w:rsid w:val="00EA134A"/>
    <w:rsid w:val="00EA13A8"/>
    <w:rsid w:val="00EA34F8"/>
    <w:rsid w:val="00EA4B7C"/>
    <w:rsid w:val="00EA4ED5"/>
    <w:rsid w:val="00EA5721"/>
    <w:rsid w:val="00EA6EFE"/>
    <w:rsid w:val="00EA7189"/>
    <w:rsid w:val="00EB025D"/>
    <w:rsid w:val="00EB08A1"/>
    <w:rsid w:val="00EB1AA7"/>
    <w:rsid w:val="00EB1AB7"/>
    <w:rsid w:val="00EB2F83"/>
    <w:rsid w:val="00EB3F0D"/>
    <w:rsid w:val="00EB4C41"/>
    <w:rsid w:val="00EC0956"/>
    <w:rsid w:val="00EC25DB"/>
    <w:rsid w:val="00EC48DD"/>
    <w:rsid w:val="00EC5764"/>
    <w:rsid w:val="00EC5A37"/>
    <w:rsid w:val="00ED0274"/>
    <w:rsid w:val="00ED048C"/>
    <w:rsid w:val="00ED4452"/>
    <w:rsid w:val="00ED52A6"/>
    <w:rsid w:val="00ED5A90"/>
    <w:rsid w:val="00ED6153"/>
    <w:rsid w:val="00ED720A"/>
    <w:rsid w:val="00ED7D7E"/>
    <w:rsid w:val="00EE0BDA"/>
    <w:rsid w:val="00EE0ED0"/>
    <w:rsid w:val="00EE0FAB"/>
    <w:rsid w:val="00EE1737"/>
    <w:rsid w:val="00EE1C88"/>
    <w:rsid w:val="00EE2E62"/>
    <w:rsid w:val="00EE3EF0"/>
    <w:rsid w:val="00EE414D"/>
    <w:rsid w:val="00EE52D9"/>
    <w:rsid w:val="00EE533A"/>
    <w:rsid w:val="00EE65E8"/>
    <w:rsid w:val="00EE70B4"/>
    <w:rsid w:val="00EF018A"/>
    <w:rsid w:val="00EF0909"/>
    <w:rsid w:val="00EF1C05"/>
    <w:rsid w:val="00EF2C79"/>
    <w:rsid w:val="00EF38BA"/>
    <w:rsid w:val="00EF558D"/>
    <w:rsid w:val="00EF56EF"/>
    <w:rsid w:val="00EF5CED"/>
    <w:rsid w:val="00EF6BC1"/>
    <w:rsid w:val="00F021B5"/>
    <w:rsid w:val="00F027B0"/>
    <w:rsid w:val="00F02C82"/>
    <w:rsid w:val="00F02D4D"/>
    <w:rsid w:val="00F03019"/>
    <w:rsid w:val="00F036B4"/>
    <w:rsid w:val="00F03A72"/>
    <w:rsid w:val="00F04112"/>
    <w:rsid w:val="00F047FF"/>
    <w:rsid w:val="00F04E95"/>
    <w:rsid w:val="00F05C41"/>
    <w:rsid w:val="00F05CAF"/>
    <w:rsid w:val="00F10336"/>
    <w:rsid w:val="00F1116B"/>
    <w:rsid w:val="00F1140B"/>
    <w:rsid w:val="00F1246A"/>
    <w:rsid w:val="00F13399"/>
    <w:rsid w:val="00F141CB"/>
    <w:rsid w:val="00F150A9"/>
    <w:rsid w:val="00F154AA"/>
    <w:rsid w:val="00F16435"/>
    <w:rsid w:val="00F16DDD"/>
    <w:rsid w:val="00F17DE3"/>
    <w:rsid w:val="00F201FA"/>
    <w:rsid w:val="00F20B94"/>
    <w:rsid w:val="00F20C39"/>
    <w:rsid w:val="00F21944"/>
    <w:rsid w:val="00F21D71"/>
    <w:rsid w:val="00F238E8"/>
    <w:rsid w:val="00F26070"/>
    <w:rsid w:val="00F30335"/>
    <w:rsid w:val="00F30C58"/>
    <w:rsid w:val="00F31EBD"/>
    <w:rsid w:val="00F32ABF"/>
    <w:rsid w:val="00F33E74"/>
    <w:rsid w:val="00F4051A"/>
    <w:rsid w:val="00F419BA"/>
    <w:rsid w:val="00F42579"/>
    <w:rsid w:val="00F43F35"/>
    <w:rsid w:val="00F45CA1"/>
    <w:rsid w:val="00F47E6F"/>
    <w:rsid w:val="00F51C0B"/>
    <w:rsid w:val="00F51DA3"/>
    <w:rsid w:val="00F52E30"/>
    <w:rsid w:val="00F52F1D"/>
    <w:rsid w:val="00F53C54"/>
    <w:rsid w:val="00F5408A"/>
    <w:rsid w:val="00F54686"/>
    <w:rsid w:val="00F5624D"/>
    <w:rsid w:val="00F56431"/>
    <w:rsid w:val="00F57CE3"/>
    <w:rsid w:val="00F57D6E"/>
    <w:rsid w:val="00F61A20"/>
    <w:rsid w:val="00F62261"/>
    <w:rsid w:val="00F623A3"/>
    <w:rsid w:val="00F626A6"/>
    <w:rsid w:val="00F6376B"/>
    <w:rsid w:val="00F66386"/>
    <w:rsid w:val="00F6676A"/>
    <w:rsid w:val="00F67C9B"/>
    <w:rsid w:val="00F67E18"/>
    <w:rsid w:val="00F70F4D"/>
    <w:rsid w:val="00F70FBA"/>
    <w:rsid w:val="00F72CE0"/>
    <w:rsid w:val="00F73125"/>
    <w:rsid w:val="00F73528"/>
    <w:rsid w:val="00F75632"/>
    <w:rsid w:val="00F76E41"/>
    <w:rsid w:val="00F80509"/>
    <w:rsid w:val="00F810E3"/>
    <w:rsid w:val="00F82589"/>
    <w:rsid w:val="00F83E8B"/>
    <w:rsid w:val="00F8412D"/>
    <w:rsid w:val="00F84DDC"/>
    <w:rsid w:val="00F854D8"/>
    <w:rsid w:val="00F8559B"/>
    <w:rsid w:val="00F86F83"/>
    <w:rsid w:val="00F91727"/>
    <w:rsid w:val="00F924BA"/>
    <w:rsid w:val="00F932E0"/>
    <w:rsid w:val="00F93C6A"/>
    <w:rsid w:val="00F95352"/>
    <w:rsid w:val="00F95622"/>
    <w:rsid w:val="00F96877"/>
    <w:rsid w:val="00F9798C"/>
    <w:rsid w:val="00F97CE8"/>
    <w:rsid w:val="00F97F20"/>
    <w:rsid w:val="00FA05F9"/>
    <w:rsid w:val="00FA0E7C"/>
    <w:rsid w:val="00FA369E"/>
    <w:rsid w:val="00FA4001"/>
    <w:rsid w:val="00FA41AF"/>
    <w:rsid w:val="00FA54D5"/>
    <w:rsid w:val="00FA590D"/>
    <w:rsid w:val="00FA6128"/>
    <w:rsid w:val="00FA7520"/>
    <w:rsid w:val="00FA7BD1"/>
    <w:rsid w:val="00FB0E07"/>
    <w:rsid w:val="00FB29F1"/>
    <w:rsid w:val="00FB30F0"/>
    <w:rsid w:val="00FB36DB"/>
    <w:rsid w:val="00FB4B5C"/>
    <w:rsid w:val="00FB5A40"/>
    <w:rsid w:val="00FB62A2"/>
    <w:rsid w:val="00FB78C1"/>
    <w:rsid w:val="00FC0339"/>
    <w:rsid w:val="00FC06B5"/>
    <w:rsid w:val="00FC0834"/>
    <w:rsid w:val="00FC0F7A"/>
    <w:rsid w:val="00FC18B5"/>
    <w:rsid w:val="00FC1A4F"/>
    <w:rsid w:val="00FC2131"/>
    <w:rsid w:val="00FC3A14"/>
    <w:rsid w:val="00FC5436"/>
    <w:rsid w:val="00FC5E91"/>
    <w:rsid w:val="00FC60AD"/>
    <w:rsid w:val="00FC6415"/>
    <w:rsid w:val="00FC6A29"/>
    <w:rsid w:val="00FD1582"/>
    <w:rsid w:val="00FD1B21"/>
    <w:rsid w:val="00FD3A27"/>
    <w:rsid w:val="00FD69F3"/>
    <w:rsid w:val="00FD707F"/>
    <w:rsid w:val="00FE03CB"/>
    <w:rsid w:val="00FE1093"/>
    <w:rsid w:val="00FE33DC"/>
    <w:rsid w:val="00FE4DBE"/>
    <w:rsid w:val="00FE66A6"/>
    <w:rsid w:val="00FE7111"/>
    <w:rsid w:val="00FF0DC1"/>
    <w:rsid w:val="00FF10D6"/>
    <w:rsid w:val="00FF133B"/>
    <w:rsid w:val="00FF1D95"/>
    <w:rsid w:val="00FF3A08"/>
    <w:rsid w:val="00FF3BCC"/>
    <w:rsid w:val="00FF440B"/>
    <w:rsid w:val="00FF5539"/>
    <w:rsid w:val="00FF615A"/>
    <w:rsid w:val="00FF62BC"/>
    <w:rsid w:val="00FF6C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02BC1"/>
  <w15:docId w15:val="{E02BC298-EE24-E143-88E8-00C3674C3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0" w:line="240" w:lineRule="auto"/>
    </w:pPr>
    <w:rPr>
      <w:rFonts w:ascii="Times New Roman" w:eastAsia="Times New Roman" w:hAnsi="Times New Roman"/>
      <w:sz w:val="24"/>
      <w:szCs w:val="24"/>
    </w:rPr>
  </w:style>
  <w:style w:type="paragraph" w:styleId="Heading2">
    <w:name w:val="heading 2"/>
    <w:basedOn w:val="Normal"/>
    <w:link w:val="Heading2Char"/>
    <w:uiPriority w:val="9"/>
    <w:qFormat/>
    <w:rsid w:val="00290787"/>
    <w:pPr>
      <w:suppressAutoHyphens w:val="0"/>
      <w:autoSpaceDN/>
      <w:spacing w:before="100" w:beforeAutospacing="1" w:after="100" w:afterAutospacing="1"/>
      <w:textAlignment w:val="auto"/>
      <w:outlineLvl w:val="1"/>
    </w:pPr>
    <w:rPr>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Desc">
    <w:name w:val="CoverDesc"/>
    <w:basedOn w:val="Normal"/>
    <w:pPr>
      <w:jc w:val="center"/>
    </w:pPr>
    <w:rPr>
      <w:b/>
      <w:sz w:val="36"/>
      <w:szCs w:val="20"/>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pacing w:val="-3"/>
      <w:szCs w:val="20"/>
      <w:u w:val="single"/>
    </w:rPr>
  </w:style>
  <w:style w:type="paragraph" w:customStyle="1" w:styleId="CoverText">
    <w:name w:val="CoverText"/>
    <w:basedOn w:val="Normal"/>
    <w:pPr>
      <w:jc w:val="right"/>
    </w:pPr>
    <w:rPr>
      <w:szCs w:val="20"/>
      <w:u w:val="single"/>
    </w:rPr>
  </w:style>
  <w:style w:type="paragraph" w:styleId="Footer">
    <w:name w:val="footer"/>
    <w:basedOn w:val="Normal"/>
    <w:pPr>
      <w:tabs>
        <w:tab w:val="center" w:pos="4153"/>
        <w:tab w:val="right" w:pos="8306"/>
      </w:tabs>
    </w:pPr>
    <w:rPr>
      <w:rFonts w:ascii="Univers (W1)" w:hAnsi="Univers (W1)"/>
      <w:szCs w:val="20"/>
    </w:rPr>
  </w:style>
  <w:style w:type="character" w:customStyle="1" w:styleId="FooterChar">
    <w:name w:val="Footer Char"/>
    <w:basedOn w:val="DefaultParagraphFont"/>
    <w:rPr>
      <w:rFonts w:ascii="Univers (W1)" w:eastAsia="Times New Roman" w:hAnsi="Univers (W1)" w:cs="Times New Roman"/>
      <w:sz w:val="24"/>
      <w:szCs w:val="20"/>
    </w:rPr>
  </w:style>
  <w:style w:type="paragraph" w:styleId="FootnoteText">
    <w:name w:val="footnote text"/>
    <w:basedOn w:val="Normal"/>
    <w:link w:val="FootnoteTextChar"/>
    <w:uiPriority w:val="99"/>
    <w:unhideWhenUsed/>
    <w:rsid w:val="00CF1D17"/>
    <w:rPr>
      <w:sz w:val="20"/>
      <w:szCs w:val="20"/>
    </w:rPr>
  </w:style>
  <w:style w:type="character" w:customStyle="1" w:styleId="FootnoteTextChar">
    <w:name w:val="Footnote Text Char"/>
    <w:basedOn w:val="DefaultParagraphFont"/>
    <w:link w:val="FootnoteText"/>
    <w:uiPriority w:val="99"/>
    <w:rsid w:val="00CF1D17"/>
    <w:rPr>
      <w:rFonts w:ascii="Times New Roman" w:eastAsia="Times New Roman" w:hAnsi="Times New Roman"/>
      <w:sz w:val="20"/>
      <w:szCs w:val="20"/>
    </w:rPr>
  </w:style>
  <w:style w:type="character" w:styleId="FootnoteReference">
    <w:name w:val="footnote reference"/>
    <w:basedOn w:val="DefaultParagraphFont"/>
    <w:uiPriority w:val="99"/>
    <w:semiHidden/>
    <w:unhideWhenUsed/>
    <w:rsid w:val="00CF1D17"/>
    <w:rPr>
      <w:vertAlign w:val="superscript"/>
    </w:rPr>
  </w:style>
  <w:style w:type="table" w:styleId="TableGrid">
    <w:name w:val="Table Grid"/>
    <w:basedOn w:val="TableNormal"/>
    <w:uiPriority w:val="39"/>
    <w:rsid w:val="00CF1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C48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48DD"/>
    <w:rPr>
      <w:rFonts w:ascii="Segoe UI" w:eastAsia="Times New Roman" w:hAnsi="Segoe UI" w:cs="Segoe UI"/>
      <w:sz w:val="18"/>
      <w:szCs w:val="18"/>
    </w:rPr>
  </w:style>
  <w:style w:type="paragraph" w:styleId="ListParagraph">
    <w:name w:val="List Paragraph"/>
    <w:basedOn w:val="Normal"/>
    <w:uiPriority w:val="34"/>
    <w:qFormat/>
    <w:rsid w:val="005707F4"/>
    <w:pPr>
      <w:ind w:left="720"/>
      <w:contextualSpacing/>
    </w:pPr>
  </w:style>
  <w:style w:type="character" w:styleId="PageNumber">
    <w:name w:val="page number"/>
    <w:basedOn w:val="DefaultParagraphFont"/>
    <w:uiPriority w:val="99"/>
    <w:semiHidden/>
    <w:unhideWhenUsed/>
    <w:rsid w:val="00C2080A"/>
  </w:style>
  <w:style w:type="paragraph" w:styleId="Header">
    <w:name w:val="header"/>
    <w:basedOn w:val="Normal"/>
    <w:link w:val="HeaderChar"/>
    <w:uiPriority w:val="99"/>
    <w:unhideWhenUsed/>
    <w:rsid w:val="00C2080A"/>
    <w:pPr>
      <w:tabs>
        <w:tab w:val="center" w:pos="4680"/>
        <w:tab w:val="right" w:pos="9360"/>
      </w:tabs>
    </w:pPr>
  </w:style>
  <w:style w:type="character" w:customStyle="1" w:styleId="HeaderChar">
    <w:name w:val="Header Char"/>
    <w:basedOn w:val="DefaultParagraphFont"/>
    <w:link w:val="Header"/>
    <w:uiPriority w:val="99"/>
    <w:rsid w:val="00C2080A"/>
    <w:rPr>
      <w:rFonts w:ascii="Times New Roman" w:eastAsia="Times New Roman" w:hAnsi="Times New Roman"/>
      <w:sz w:val="24"/>
      <w:szCs w:val="24"/>
    </w:rPr>
  </w:style>
  <w:style w:type="character" w:customStyle="1" w:styleId="Heading2Char">
    <w:name w:val="Heading 2 Char"/>
    <w:basedOn w:val="DefaultParagraphFont"/>
    <w:link w:val="Heading2"/>
    <w:uiPriority w:val="9"/>
    <w:rsid w:val="00290787"/>
    <w:rPr>
      <w:rFonts w:ascii="Times New Roman" w:eastAsia="Times New Roman" w:hAnsi="Times New Roman"/>
      <w:b/>
      <w:bCs/>
      <w:sz w:val="36"/>
      <w:szCs w:val="36"/>
      <w:lang w:eastAsia="en-GB"/>
    </w:rPr>
  </w:style>
  <w:style w:type="paragraph" w:styleId="NormalWeb">
    <w:name w:val="Normal (Web)"/>
    <w:basedOn w:val="Normal"/>
    <w:uiPriority w:val="99"/>
    <w:semiHidden/>
    <w:unhideWhenUsed/>
    <w:rsid w:val="00290787"/>
    <w:pPr>
      <w:suppressAutoHyphens w:val="0"/>
      <w:autoSpaceDN/>
      <w:spacing w:before="100" w:beforeAutospacing="1" w:after="100" w:afterAutospacing="1"/>
      <w:textAlignment w:val="auto"/>
    </w:pPr>
    <w:rPr>
      <w:lang w:eastAsia="en-GB"/>
    </w:rPr>
  </w:style>
  <w:style w:type="character" w:styleId="Hyperlink">
    <w:name w:val="Hyperlink"/>
    <w:basedOn w:val="DefaultParagraphFont"/>
    <w:uiPriority w:val="99"/>
    <w:unhideWhenUsed/>
    <w:rsid w:val="00290787"/>
    <w:rPr>
      <w:color w:val="0000FF"/>
      <w:u w:val="single"/>
    </w:rPr>
  </w:style>
  <w:style w:type="character" w:styleId="Emphasis">
    <w:name w:val="Emphasis"/>
    <w:basedOn w:val="DefaultParagraphFont"/>
    <w:uiPriority w:val="20"/>
    <w:qFormat/>
    <w:rsid w:val="00D14281"/>
    <w:rPr>
      <w:i/>
      <w:iCs/>
    </w:rPr>
  </w:style>
  <w:style w:type="character" w:styleId="CommentReference">
    <w:name w:val="annotation reference"/>
    <w:basedOn w:val="DefaultParagraphFont"/>
    <w:uiPriority w:val="99"/>
    <w:semiHidden/>
    <w:unhideWhenUsed/>
    <w:rsid w:val="00CF0D04"/>
    <w:rPr>
      <w:sz w:val="16"/>
      <w:szCs w:val="16"/>
    </w:rPr>
  </w:style>
  <w:style w:type="paragraph" w:styleId="CommentText">
    <w:name w:val="annotation text"/>
    <w:basedOn w:val="Normal"/>
    <w:link w:val="CommentTextChar"/>
    <w:uiPriority w:val="99"/>
    <w:semiHidden/>
    <w:unhideWhenUsed/>
    <w:rsid w:val="00CF0D04"/>
    <w:rPr>
      <w:sz w:val="20"/>
      <w:szCs w:val="20"/>
    </w:rPr>
  </w:style>
  <w:style w:type="character" w:customStyle="1" w:styleId="CommentTextChar">
    <w:name w:val="Comment Text Char"/>
    <w:basedOn w:val="DefaultParagraphFont"/>
    <w:link w:val="CommentText"/>
    <w:uiPriority w:val="99"/>
    <w:semiHidden/>
    <w:rsid w:val="00CF0D04"/>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F0D04"/>
    <w:rPr>
      <w:b/>
      <w:bCs/>
    </w:rPr>
  </w:style>
  <w:style w:type="character" w:customStyle="1" w:styleId="CommentSubjectChar">
    <w:name w:val="Comment Subject Char"/>
    <w:basedOn w:val="CommentTextChar"/>
    <w:link w:val="CommentSubject"/>
    <w:uiPriority w:val="99"/>
    <w:semiHidden/>
    <w:rsid w:val="00CF0D04"/>
    <w:rPr>
      <w:rFonts w:ascii="Times New Roman" w:eastAsia="Times New Roman" w:hAnsi="Times New Roman"/>
      <w:b/>
      <w:bCs/>
      <w:sz w:val="20"/>
      <w:szCs w:val="20"/>
    </w:rPr>
  </w:style>
  <w:style w:type="character" w:styleId="UnresolvedMention">
    <w:name w:val="Unresolved Mention"/>
    <w:basedOn w:val="DefaultParagraphFont"/>
    <w:uiPriority w:val="99"/>
    <w:semiHidden/>
    <w:unhideWhenUsed/>
    <w:rsid w:val="006231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273050">
      <w:bodyDiv w:val="1"/>
      <w:marLeft w:val="0"/>
      <w:marRight w:val="0"/>
      <w:marTop w:val="0"/>
      <w:marBottom w:val="0"/>
      <w:divBdr>
        <w:top w:val="none" w:sz="0" w:space="0" w:color="auto"/>
        <w:left w:val="none" w:sz="0" w:space="0" w:color="auto"/>
        <w:bottom w:val="none" w:sz="0" w:space="0" w:color="auto"/>
        <w:right w:val="none" w:sz="0" w:space="0" w:color="auto"/>
      </w:divBdr>
      <w:divsChild>
        <w:div w:id="369112627">
          <w:marLeft w:val="0"/>
          <w:marRight w:val="0"/>
          <w:marTop w:val="0"/>
          <w:marBottom w:val="0"/>
          <w:divBdr>
            <w:top w:val="none" w:sz="0" w:space="0" w:color="auto"/>
            <w:left w:val="none" w:sz="0" w:space="0" w:color="auto"/>
            <w:bottom w:val="none" w:sz="0" w:space="0" w:color="auto"/>
            <w:right w:val="none" w:sz="0" w:space="0" w:color="auto"/>
          </w:divBdr>
        </w:div>
        <w:div w:id="989094015">
          <w:marLeft w:val="0"/>
          <w:marRight w:val="0"/>
          <w:marTop w:val="0"/>
          <w:marBottom w:val="0"/>
          <w:divBdr>
            <w:top w:val="none" w:sz="0" w:space="0" w:color="auto"/>
            <w:left w:val="none" w:sz="0" w:space="0" w:color="auto"/>
            <w:bottom w:val="none" w:sz="0" w:space="0" w:color="auto"/>
            <w:right w:val="none" w:sz="0" w:space="0" w:color="auto"/>
          </w:divBdr>
          <w:divsChild>
            <w:div w:id="1745835978">
              <w:marLeft w:val="0"/>
              <w:marRight w:val="0"/>
              <w:marTop w:val="0"/>
              <w:marBottom w:val="0"/>
              <w:divBdr>
                <w:top w:val="none" w:sz="0" w:space="0" w:color="auto"/>
                <w:left w:val="none" w:sz="0" w:space="0" w:color="auto"/>
                <w:bottom w:val="none" w:sz="0" w:space="0" w:color="auto"/>
                <w:right w:val="none" w:sz="0" w:space="0" w:color="auto"/>
              </w:divBdr>
            </w:div>
            <w:div w:id="551638">
              <w:marLeft w:val="0"/>
              <w:marRight w:val="0"/>
              <w:marTop w:val="0"/>
              <w:marBottom w:val="0"/>
              <w:divBdr>
                <w:top w:val="none" w:sz="0" w:space="0" w:color="auto"/>
                <w:left w:val="none" w:sz="0" w:space="0" w:color="auto"/>
                <w:bottom w:val="none" w:sz="0" w:space="0" w:color="auto"/>
                <w:right w:val="none" w:sz="0" w:space="0" w:color="auto"/>
              </w:divBdr>
            </w:div>
          </w:divsChild>
        </w:div>
        <w:div w:id="263998169">
          <w:marLeft w:val="0"/>
          <w:marRight w:val="0"/>
          <w:marTop w:val="0"/>
          <w:marBottom w:val="0"/>
          <w:divBdr>
            <w:top w:val="none" w:sz="0" w:space="0" w:color="auto"/>
            <w:left w:val="none" w:sz="0" w:space="0" w:color="auto"/>
            <w:bottom w:val="none" w:sz="0" w:space="0" w:color="auto"/>
            <w:right w:val="none" w:sz="0" w:space="0" w:color="auto"/>
          </w:divBdr>
        </w:div>
        <w:div w:id="1920674666">
          <w:marLeft w:val="0"/>
          <w:marRight w:val="0"/>
          <w:marTop w:val="0"/>
          <w:marBottom w:val="0"/>
          <w:divBdr>
            <w:top w:val="none" w:sz="0" w:space="0" w:color="auto"/>
            <w:left w:val="none" w:sz="0" w:space="0" w:color="auto"/>
            <w:bottom w:val="none" w:sz="0" w:space="0" w:color="auto"/>
            <w:right w:val="none" w:sz="0" w:space="0" w:color="auto"/>
          </w:divBdr>
        </w:div>
        <w:div w:id="916134961">
          <w:marLeft w:val="0"/>
          <w:marRight w:val="0"/>
          <w:marTop w:val="0"/>
          <w:marBottom w:val="0"/>
          <w:divBdr>
            <w:top w:val="none" w:sz="0" w:space="0" w:color="auto"/>
            <w:left w:val="none" w:sz="0" w:space="0" w:color="auto"/>
            <w:bottom w:val="none" w:sz="0" w:space="0" w:color="auto"/>
            <w:right w:val="none" w:sz="0" w:space="0" w:color="auto"/>
          </w:divBdr>
          <w:divsChild>
            <w:div w:id="53211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47452">
      <w:bodyDiv w:val="1"/>
      <w:marLeft w:val="0"/>
      <w:marRight w:val="0"/>
      <w:marTop w:val="0"/>
      <w:marBottom w:val="0"/>
      <w:divBdr>
        <w:top w:val="none" w:sz="0" w:space="0" w:color="auto"/>
        <w:left w:val="none" w:sz="0" w:space="0" w:color="auto"/>
        <w:bottom w:val="none" w:sz="0" w:space="0" w:color="auto"/>
        <w:right w:val="none" w:sz="0" w:space="0" w:color="auto"/>
      </w:divBdr>
      <w:divsChild>
        <w:div w:id="1907909565">
          <w:marLeft w:val="0"/>
          <w:marRight w:val="0"/>
          <w:marTop w:val="0"/>
          <w:marBottom w:val="0"/>
          <w:divBdr>
            <w:top w:val="none" w:sz="0" w:space="0" w:color="auto"/>
            <w:left w:val="none" w:sz="0" w:space="0" w:color="auto"/>
            <w:bottom w:val="none" w:sz="0" w:space="0" w:color="auto"/>
            <w:right w:val="none" w:sz="0" w:space="0" w:color="auto"/>
          </w:divBdr>
        </w:div>
        <w:div w:id="1511137442">
          <w:marLeft w:val="0"/>
          <w:marRight w:val="0"/>
          <w:marTop w:val="0"/>
          <w:marBottom w:val="0"/>
          <w:divBdr>
            <w:top w:val="none" w:sz="0" w:space="0" w:color="auto"/>
            <w:left w:val="none" w:sz="0" w:space="0" w:color="auto"/>
            <w:bottom w:val="none" w:sz="0" w:space="0" w:color="auto"/>
            <w:right w:val="none" w:sz="0" w:space="0" w:color="auto"/>
          </w:divBdr>
          <w:divsChild>
            <w:div w:id="1679499655">
              <w:marLeft w:val="0"/>
              <w:marRight w:val="0"/>
              <w:marTop w:val="0"/>
              <w:marBottom w:val="0"/>
              <w:divBdr>
                <w:top w:val="none" w:sz="0" w:space="0" w:color="auto"/>
                <w:left w:val="none" w:sz="0" w:space="0" w:color="auto"/>
                <w:bottom w:val="none" w:sz="0" w:space="0" w:color="auto"/>
                <w:right w:val="none" w:sz="0" w:space="0" w:color="auto"/>
              </w:divBdr>
            </w:div>
            <w:div w:id="1331254639">
              <w:marLeft w:val="0"/>
              <w:marRight w:val="0"/>
              <w:marTop w:val="0"/>
              <w:marBottom w:val="0"/>
              <w:divBdr>
                <w:top w:val="none" w:sz="0" w:space="0" w:color="auto"/>
                <w:left w:val="none" w:sz="0" w:space="0" w:color="auto"/>
                <w:bottom w:val="none" w:sz="0" w:space="0" w:color="auto"/>
                <w:right w:val="none" w:sz="0" w:space="0" w:color="auto"/>
              </w:divBdr>
            </w:div>
            <w:div w:id="435945854">
              <w:marLeft w:val="0"/>
              <w:marRight w:val="0"/>
              <w:marTop w:val="0"/>
              <w:marBottom w:val="0"/>
              <w:divBdr>
                <w:top w:val="none" w:sz="0" w:space="0" w:color="auto"/>
                <w:left w:val="none" w:sz="0" w:space="0" w:color="auto"/>
                <w:bottom w:val="none" w:sz="0" w:space="0" w:color="auto"/>
                <w:right w:val="none" w:sz="0" w:space="0" w:color="auto"/>
              </w:divBdr>
            </w:div>
          </w:divsChild>
        </w:div>
        <w:div w:id="121076484">
          <w:marLeft w:val="0"/>
          <w:marRight w:val="0"/>
          <w:marTop w:val="0"/>
          <w:marBottom w:val="0"/>
          <w:divBdr>
            <w:top w:val="none" w:sz="0" w:space="0" w:color="auto"/>
            <w:left w:val="none" w:sz="0" w:space="0" w:color="auto"/>
            <w:bottom w:val="none" w:sz="0" w:space="0" w:color="auto"/>
            <w:right w:val="none" w:sz="0" w:space="0" w:color="auto"/>
          </w:divBdr>
        </w:div>
        <w:div w:id="2055540233">
          <w:marLeft w:val="0"/>
          <w:marRight w:val="0"/>
          <w:marTop w:val="0"/>
          <w:marBottom w:val="0"/>
          <w:divBdr>
            <w:top w:val="none" w:sz="0" w:space="0" w:color="auto"/>
            <w:left w:val="none" w:sz="0" w:space="0" w:color="auto"/>
            <w:bottom w:val="none" w:sz="0" w:space="0" w:color="auto"/>
            <w:right w:val="none" w:sz="0" w:space="0" w:color="auto"/>
          </w:divBdr>
        </w:div>
        <w:div w:id="105202439">
          <w:marLeft w:val="0"/>
          <w:marRight w:val="0"/>
          <w:marTop w:val="0"/>
          <w:marBottom w:val="0"/>
          <w:divBdr>
            <w:top w:val="none" w:sz="0" w:space="0" w:color="auto"/>
            <w:left w:val="none" w:sz="0" w:space="0" w:color="auto"/>
            <w:bottom w:val="none" w:sz="0" w:space="0" w:color="auto"/>
            <w:right w:val="none" w:sz="0" w:space="0" w:color="auto"/>
          </w:divBdr>
        </w:div>
        <w:div w:id="526870799">
          <w:marLeft w:val="0"/>
          <w:marRight w:val="0"/>
          <w:marTop w:val="0"/>
          <w:marBottom w:val="0"/>
          <w:divBdr>
            <w:top w:val="none" w:sz="0" w:space="0" w:color="auto"/>
            <w:left w:val="none" w:sz="0" w:space="0" w:color="auto"/>
            <w:bottom w:val="none" w:sz="0" w:space="0" w:color="auto"/>
            <w:right w:val="none" w:sz="0" w:space="0" w:color="auto"/>
          </w:divBdr>
          <w:divsChild>
            <w:div w:id="233397883">
              <w:marLeft w:val="0"/>
              <w:marRight w:val="0"/>
              <w:marTop w:val="0"/>
              <w:marBottom w:val="0"/>
              <w:divBdr>
                <w:top w:val="none" w:sz="0" w:space="0" w:color="auto"/>
                <w:left w:val="none" w:sz="0" w:space="0" w:color="auto"/>
                <w:bottom w:val="none" w:sz="0" w:space="0" w:color="auto"/>
                <w:right w:val="none" w:sz="0" w:space="0" w:color="auto"/>
              </w:divBdr>
            </w:div>
            <w:div w:id="675495102">
              <w:marLeft w:val="0"/>
              <w:marRight w:val="0"/>
              <w:marTop w:val="0"/>
              <w:marBottom w:val="0"/>
              <w:divBdr>
                <w:top w:val="none" w:sz="0" w:space="0" w:color="auto"/>
                <w:left w:val="none" w:sz="0" w:space="0" w:color="auto"/>
                <w:bottom w:val="none" w:sz="0" w:space="0" w:color="auto"/>
                <w:right w:val="none" w:sz="0" w:space="0" w:color="auto"/>
              </w:divBdr>
            </w:div>
            <w:div w:id="1436907012">
              <w:marLeft w:val="0"/>
              <w:marRight w:val="0"/>
              <w:marTop w:val="0"/>
              <w:marBottom w:val="0"/>
              <w:divBdr>
                <w:top w:val="none" w:sz="0" w:space="0" w:color="auto"/>
                <w:left w:val="none" w:sz="0" w:space="0" w:color="auto"/>
                <w:bottom w:val="none" w:sz="0" w:space="0" w:color="auto"/>
                <w:right w:val="none" w:sz="0" w:space="0" w:color="auto"/>
              </w:divBdr>
              <w:divsChild>
                <w:div w:id="1451707866">
                  <w:marLeft w:val="0"/>
                  <w:marRight w:val="0"/>
                  <w:marTop w:val="0"/>
                  <w:marBottom w:val="0"/>
                  <w:divBdr>
                    <w:top w:val="none" w:sz="0" w:space="0" w:color="auto"/>
                    <w:left w:val="none" w:sz="0" w:space="0" w:color="auto"/>
                    <w:bottom w:val="none" w:sz="0" w:space="0" w:color="auto"/>
                    <w:right w:val="none" w:sz="0" w:space="0" w:color="auto"/>
                  </w:divBdr>
                </w:div>
                <w:div w:id="112338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112404">
      <w:bodyDiv w:val="1"/>
      <w:marLeft w:val="0"/>
      <w:marRight w:val="0"/>
      <w:marTop w:val="0"/>
      <w:marBottom w:val="0"/>
      <w:divBdr>
        <w:top w:val="none" w:sz="0" w:space="0" w:color="auto"/>
        <w:left w:val="none" w:sz="0" w:space="0" w:color="auto"/>
        <w:bottom w:val="none" w:sz="0" w:space="0" w:color="auto"/>
        <w:right w:val="none" w:sz="0" w:space="0" w:color="auto"/>
      </w:divBdr>
      <w:divsChild>
        <w:div w:id="1172600676">
          <w:marLeft w:val="0"/>
          <w:marRight w:val="0"/>
          <w:marTop w:val="0"/>
          <w:marBottom w:val="0"/>
          <w:divBdr>
            <w:top w:val="none" w:sz="0" w:space="0" w:color="auto"/>
            <w:left w:val="none" w:sz="0" w:space="0" w:color="auto"/>
            <w:bottom w:val="none" w:sz="0" w:space="0" w:color="auto"/>
            <w:right w:val="none" w:sz="0" w:space="0" w:color="auto"/>
          </w:divBdr>
          <w:divsChild>
            <w:div w:id="421755735">
              <w:marLeft w:val="0"/>
              <w:marRight w:val="0"/>
              <w:marTop w:val="0"/>
              <w:marBottom w:val="0"/>
              <w:divBdr>
                <w:top w:val="none" w:sz="0" w:space="0" w:color="auto"/>
                <w:left w:val="none" w:sz="0" w:space="0" w:color="auto"/>
                <w:bottom w:val="none" w:sz="0" w:space="0" w:color="auto"/>
                <w:right w:val="none" w:sz="0" w:space="0" w:color="auto"/>
              </w:divBdr>
            </w:div>
            <w:div w:id="1981035808">
              <w:marLeft w:val="0"/>
              <w:marRight w:val="0"/>
              <w:marTop w:val="0"/>
              <w:marBottom w:val="0"/>
              <w:divBdr>
                <w:top w:val="none" w:sz="0" w:space="0" w:color="auto"/>
                <w:left w:val="none" w:sz="0" w:space="0" w:color="auto"/>
                <w:bottom w:val="none" w:sz="0" w:space="0" w:color="auto"/>
                <w:right w:val="none" w:sz="0" w:space="0" w:color="auto"/>
              </w:divBdr>
            </w:div>
            <w:div w:id="364408723">
              <w:marLeft w:val="0"/>
              <w:marRight w:val="0"/>
              <w:marTop w:val="0"/>
              <w:marBottom w:val="0"/>
              <w:divBdr>
                <w:top w:val="none" w:sz="0" w:space="0" w:color="auto"/>
                <w:left w:val="none" w:sz="0" w:space="0" w:color="auto"/>
                <w:bottom w:val="none" w:sz="0" w:space="0" w:color="auto"/>
                <w:right w:val="none" w:sz="0" w:space="0" w:color="auto"/>
              </w:divBdr>
            </w:div>
            <w:div w:id="1998217562">
              <w:marLeft w:val="0"/>
              <w:marRight w:val="0"/>
              <w:marTop w:val="0"/>
              <w:marBottom w:val="0"/>
              <w:divBdr>
                <w:top w:val="none" w:sz="0" w:space="0" w:color="auto"/>
                <w:left w:val="none" w:sz="0" w:space="0" w:color="auto"/>
                <w:bottom w:val="none" w:sz="0" w:space="0" w:color="auto"/>
                <w:right w:val="none" w:sz="0" w:space="0" w:color="auto"/>
              </w:divBdr>
            </w:div>
            <w:div w:id="1286619489">
              <w:marLeft w:val="0"/>
              <w:marRight w:val="0"/>
              <w:marTop w:val="0"/>
              <w:marBottom w:val="0"/>
              <w:divBdr>
                <w:top w:val="none" w:sz="0" w:space="0" w:color="auto"/>
                <w:left w:val="none" w:sz="0" w:space="0" w:color="auto"/>
                <w:bottom w:val="none" w:sz="0" w:space="0" w:color="auto"/>
                <w:right w:val="none" w:sz="0" w:space="0" w:color="auto"/>
              </w:divBdr>
            </w:div>
            <w:div w:id="892035604">
              <w:marLeft w:val="0"/>
              <w:marRight w:val="0"/>
              <w:marTop w:val="0"/>
              <w:marBottom w:val="0"/>
              <w:divBdr>
                <w:top w:val="none" w:sz="0" w:space="0" w:color="auto"/>
                <w:left w:val="none" w:sz="0" w:space="0" w:color="auto"/>
                <w:bottom w:val="none" w:sz="0" w:space="0" w:color="auto"/>
                <w:right w:val="none" w:sz="0" w:space="0" w:color="auto"/>
              </w:divBdr>
            </w:div>
          </w:divsChild>
        </w:div>
        <w:div w:id="1798526143">
          <w:marLeft w:val="0"/>
          <w:marRight w:val="0"/>
          <w:marTop w:val="0"/>
          <w:marBottom w:val="0"/>
          <w:divBdr>
            <w:top w:val="none" w:sz="0" w:space="0" w:color="auto"/>
            <w:left w:val="none" w:sz="0" w:space="0" w:color="auto"/>
            <w:bottom w:val="none" w:sz="0" w:space="0" w:color="auto"/>
            <w:right w:val="none" w:sz="0" w:space="0" w:color="auto"/>
          </w:divBdr>
        </w:div>
        <w:div w:id="855654105">
          <w:marLeft w:val="0"/>
          <w:marRight w:val="0"/>
          <w:marTop w:val="0"/>
          <w:marBottom w:val="0"/>
          <w:divBdr>
            <w:top w:val="none" w:sz="0" w:space="0" w:color="auto"/>
            <w:left w:val="none" w:sz="0" w:space="0" w:color="auto"/>
            <w:bottom w:val="none" w:sz="0" w:space="0" w:color="auto"/>
            <w:right w:val="none" w:sz="0" w:space="0" w:color="auto"/>
          </w:divBdr>
        </w:div>
      </w:divsChild>
    </w:div>
    <w:div w:id="585846453">
      <w:bodyDiv w:val="1"/>
      <w:marLeft w:val="0"/>
      <w:marRight w:val="0"/>
      <w:marTop w:val="0"/>
      <w:marBottom w:val="0"/>
      <w:divBdr>
        <w:top w:val="none" w:sz="0" w:space="0" w:color="auto"/>
        <w:left w:val="none" w:sz="0" w:space="0" w:color="auto"/>
        <w:bottom w:val="none" w:sz="0" w:space="0" w:color="auto"/>
        <w:right w:val="none" w:sz="0" w:space="0" w:color="auto"/>
      </w:divBdr>
      <w:divsChild>
        <w:div w:id="614680777">
          <w:marLeft w:val="0"/>
          <w:marRight w:val="0"/>
          <w:marTop w:val="0"/>
          <w:marBottom w:val="0"/>
          <w:divBdr>
            <w:top w:val="none" w:sz="0" w:space="0" w:color="auto"/>
            <w:left w:val="none" w:sz="0" w:space="0" w:color="auto"/>
            <w:bottom w:val="none" w:sz="0" w:space="0" w:color="auto"/>
            <w:right w:val="none" w:sz="0" w:space="0" w:color="auto"/>
          </w:divBdr>
        </w:div>
        <w:div w:id="1415199455">
          <w:marLeft w:val="0"/>
          <w:marRight w:val="0"/>
          <w:marTop w:val="0"/>
          <w:marBottom w:val="0"/>
          <w:divBdr>
            <w:top w:val="none" w:sz="0" w:space="0" w:color="auto"/>
            <w:left w:val="none" w:sz="0" w:space="0" w:color="auto"/>
            <w:bottom w:val="none" w:sz="0" w:space="0" w:color="auto"/>
            <w:right w:val="none" w:sz="0" w:space="0" w:color="auto"/>
          </w:divBdr>
        </w:div>
      </w:divsChild>
    </w:div>
    <w:div w:id="797146304">
      <w:bodyDiv w:val="1"/>
      <w:marLeft w:val="0"/>
      <w:marRight w:val="0"/>
      <w:marTop w:val="0"/>
      <w:marBottom w:val="0"/>
      <w:divBdr>
        <w:top w:val="none" w:sz="0" w:space="0" w:color="auto"/>
        <w:left w:val="none" w:sz="0" w:space="0" w:color="auto"/>
        <w:bottom w:val="none" w:sz="0" w:space="0" w:color="auto"/>
        <w:right w:val="none" w:sz="0" w:space="0" w:color="auto"/>
      </w:divBdr>
      <w:divsChild>
        <w:div w:id="1918588166">
          <w:marLeft w:val="0"/>
          <w:marRight w:val="0"/>
          <w:marTop w:val="0"/>
          <w:marBottom w:val="0"/>
          <w:divBdr>
            <w:top w:val="none" w:sz="0" w:space="0" w:color="auto"/>
            <w:left w:val="none" w:sz="0" w:space="0" w:color="auto"/>
            <w:bottom w:val="none" w:sz="0" w:space="0" w:color="auto"/>
            <w:right w:val="none" w:sz="0" w:space="0" w:color="auto"/>
          </w:divBdr>
        </w:div>
        <w:div w:id="1563174425">
          <w:marLeft w:val="0"/>
          <w:marRight w:val="0"/>
          <w:marTop w:val="0"/>
          <w:marBottom w:val="0"/>
          <w:divBdr>
            <w:top w:val="none" w:sz="0" w:space="0" w:color="auto"/>
            <w:left w:val="none" w:sz="0" w:space="0" w:color="auto"/>
            <w:bottom w:val="none" w:sz="0" w:space="0" w:color="auto"/>
            <w:right w:val="none" w:sz="0" w:space="0" w:color="auto"/>
          </w:divBdr>
        </w:div>
        <w:div w:id="759759078">
          <w:marLeft w:val="0"/>
          <w:marRight w:val="0"/>
          <w:marTop w:val="0"/>
          <w:marBottom w:val="0"/>
          <w:divBdr>
            <w:top w:val="none" w:sz="0" w:space="0" w:color="auto"/>
            <w:left w:val="none" w:sz="0" w:space="0" w:color="auto"/>
            <w:bottom w:val="none" w:sz="0" w:space="0" w:color="auto"/>
            <w:right w:val="none" w:sz="0" w:space="0" w:color="auto"/>
          </w:divBdr>
        </w:div>
        <w:div w:id="1494174674">
          <w:marLeft w:val="0"/>
          <w:marRight w:val="0"/>
          <w:marTop w:val="0"/>
          <w:marBottom w:val="0"/>
          <w:divBdr>
            <w:top w:val="none" w:sz="0" w:space="0" w:color="auto"/>
            <w:left w:val="none" w:sz="0" w:space="0" w:color="auto"/>
            <w:bottom w:val="none" w:sz="0" w:space="0" w:color="auto"/>
            <w:right w:val="none" w:sz="0" w:space="0" w:color="auto"/>
          </w:divBdr>
          <w:divsChild>
            <w:div w:id="151606811">
              <w:marLeft w:val="0"/>
              <w:marRight w:val="0"/>
              <w:marTop w:val="0"/>
              <w:marBottom w:val="0"/>
              <w:divBdr>
                <w:top w:val="none" w:sz="0" w:space="0" w:color="auto"/>
                <w:left w:val="none" w:sz="0" w:space="0" w:color="auto"/>
                <w:bottom w:val="none" w:sz="0" w:space="0" w:color="auto"/>
                <w:right w:val="none" w:sz="0" w:space="0" w:color="auto"/>
              </w:divBdr>
            </w:div>
            <w:div w:id="1535271531">
              <w:marLeft w:val="0"/>
              <w:marRight w:val="0"/>
              <w:marTop w:val="0"/>
              <w:marBottom w:val="0"/>
              <w:divBdr>
                <w:top w:val="none" w:sz="0" w:space="0" w:color="auto"/>
                <w:left w:val="none" w:sz="0" w:space="0" w:color="auto"/>
                <w:bottom w:val="none" w:sz="0" w:space="0" w:color="auto"/>
                <w:right w:val="none" w:sz="0" w:space="0" w:color="auto"/>
              </w:divBdr>
            </w:div>
          </w:divsChild>
        </w:div>
        <w:div w:id="942032357">
          <w:marLeft w:val="0"/>
          <w:marRight w:val="0"/>
          <w:marTop w:val="0"/>
          <w:marBottom w:val="0"/>
          <w:divBdr>
            <w:top w:val="none" w:sz="0" w:space="0" w:color="auto"/>
            <w:left w:val="none" w:sz="0" w:space="0" w:color="auto"/>
            <w:bottom w:val="none" w:sz="0" w:space="0" w:color="auto"/>
            <w:right w:val="none" w:sz="0" w:space="0" w:color="auto"/>
          </w:divBdr>
          <w:divsChild>
            <w:div w:id="1123501908">
              <w:marLeft w:val="0"/>
              <w:marRight w:val="0"/>
              <w:marTop w:val="0"/>
              <w:marBottom w:val="0"/>
              <w:divBdr>
                <w:top w:val="none" w:sz="0" w:space="0" w:color="auto"/>
                <w:left w:val="none" w:sz="0" w:space="0" w:color="auto"/>
                <w:bottom w:val="none" w:sz="0" w:space="0" w:color="auto"/>
                <w:right w:val="none" w:sz="0" w:space="0" w:color="auto"/>
              </w:divBdr>
            </w:div>
            <w:div w:id="287441178">
              <w:marLeft w:val="0"/>
              <w:marRight w:val="0"/>
              <w:marTop w:val="0"/>
              <w:marBottom w:val="0"/>
              <w:divBdr>
                <w:top w:val="none" w:sz="0" w:space="0" w:color="auto"/>
                <w:left w:val="none" w:sz="0" w:space="0" w:color="auto"/>
                <w:bottom w:val="none" w:sz="0" w:space="0" w:color="auto"/>
                <w:right w:val="none" w:sz="0" w:space="0" w:color="auto"/>
              </w:divBdr>
            </w:div>
          </w:divsChild>
        </w:div>
        <w:div w:id="168257178">
          <w:marLeft w:val="0"/>
          <w:marRight w:val="0"/>
          <w:marTop w:val="0"/>
          <w:marBottom w:val="0"/>
          <w:divBdr>
            <w:top w:val="none" w:sz="0" w:space="0" w:color="auto"/>
            <w:left w:val="none" w:sz="0" w:space="0" w:color="auto"/>
            <w:bottom w:val="none" w:sz="0" w:space="0" w:color="auto"/>
            <w:right w:val="none" w:sz="0" w:space="0" w:color="auto"/>
          </w:divBdr>
          <w:divsChild>
            <w:div w:id="190337259">
              <w:marLeft w:val="0"/>
              <w:marRight w:val="0"/>
              <w:marTop w:val="0"/>
              <w:marBottom w:val="0"/>
              <w:divBdr>
                <w:top w:val="none" w:sz="0" w:space="0" w:color="auto"/>
                <w:left w:val="none" w:sz="0" w:space="0" w:color="auto"/>
                <w:bottom w:val="none" w:sz="0" w:space="0" w:color="auto"/>
                <w:right w:val="none" w:sz="0" w:space="0" w:color="auto"/>
              </w:divBdr>
            </w:div>
            <w:div w:id="1705517989">
              <w:marLeft w:val="0"/>
              <w:marRight w:val="0"/>
              <w:marTop w:val="0"/>
              <w:marBottom w:val="0"/>
              <w:divBdr>
                <w:top w:val="none" w:sz="0" w:space="0" w:color="auto"/>
                <w:left w:val="none" w:sz="0" w:space="0" w:color="auto"/>
                <w:bottom w:val="none" w:sz="0" w:space="0" w:color="auto"/>
                <w:right w:val="none" w:sz="0" w:space="0" w:color="auto"/>
              </w:divBdr>
            </w:div>
          </w:divsChild>
        </w:div>
        <w:div w:id="1414820316">
          <w:marLeft w:val="0"/>
          <w:marRight w:val="0"/>
          <w:marTop w:val="0"/>
          <w:marBottom w:val="0"/>
          <w:divBdr>
            <w:top w:val="none" w:sz="0" w:space="0" w:color="auto"/>
            <w:left w:val="none" w:sz="0" w:space="0" w:color="auto"/>
            <w:bottom w:val="none" w:sz="0" w:space="0" w:color="auto"/>
            <w:right w:val="none" w:sz="0" w:space="0" w:color="auto"/>
          </w:divBdr>
        </w:div>
      </w:divsChild>
    </w:div>
    <w:div w:id="944118516">
      <w:bodyDiv w:val="1"/>
      <w:marLeft w:val="0"/>
      <w:marRight w:val="0"/>
      <w:marTop w:val="0"/>
      <w:marBottom w:val="0"/>
      <w:divBdr>
        <w:top w:val="none" w:sz="0" w:space="0" w:color="auto"/>
        <w:left w:val="none" w:sz="0" w:space="0" w:color="auto"/>
        <w:bottom w:val="none" w:sz="0" w:space="0" w:color="auto"/>
        <w:right w:val="none" w:sz="0" w:space="0" w:color="auto"/>
      </w:divBdr>
      <w:divsChild>
        <w:div w:id="287781923">
          <w:marLeft w:val="0"/>
          <w:marRight w:val="0"/>
          <w:marTop w:val="0"/>
          <w:marBottom w:val="0"/>
          <w:divBdr>
            <w:top w:val="none" w:sz="0" w:space="0" w:color="auto"/>
            <w:left w:val="none" w:sz="0" w:space="0" w:color="auto"/>
            <w:bottom w:val="none" w:sz="0" w:space="0" w:color="auto"/>
            <w:right w:val="none" w:sz="0" w:space="0" w:color="auto"/>
          </w:divBdr>
          <w:divsChild>
            <w:div w:id="1034234169">
              <w:marLeft w:val="0"/>
              <w:marRight w:val="0"/>
              <w:marTop w:val="0"/>
              <w:marBottom w:val="0"/>
              <w:divBdr>
                <w:top w:val="none" w:sz="0" w:space="0" w:color="auto"/>
                <w:left w:val="none" w:sz="0" w:space="0" w:color="auto"/>
                <w:bottom w:val="none" w:sz="0" w:space="0" w:color="auto"/>
                <w:right w:val="none" w:sz="0" w:space="0" w:color="auto"/>
              </w:divBdr>
            </w:div>
            <w:div w:id="224265046">
              <w:marLeft w:val="0"/>
              <w:marRight w:val="0"/>
              <w:marTop w:val="0"/>
              <w:marBottom w:val="0"/>
              <w:divBdr>
                <w:top w:val="none" w:sz="0" w:space="0" w:color="auto"/>
                <w:left w:val="none" w:sz="0" w:space="0" w:color="auto"/>
                <w:bottom w:val="none" w:sz="0" w:space="0" w:color="auto"/>
                <w:right w:val="none" w:sz="0" w:space="0" w:color="auto"/>
              </w:divBdr>
            </w:div>
          </w:divsChild>
        </w:div>
        <w:div w:id="1291519791">
          <w:marLeft w:val="0"/>
          <w:marRight w:val="0"/>
          <w:marTop w:val="0"/>
          <w:marBottom w:val="0"/>
          <w:divBdr>
            <w:top w:val="none" w:sz="0" w:space="0" w:color="auto"/>
            <w:left w:val="none" w:sz="0" w:space="0" w:color="auto"/>
            <w:bottom w:val="none" w:sz="0" w:space="0" w:color="auto"/>
            <w:right w:val="none" w:sz="0" w:space="0" w:color="auto"/>
          </w:divBdr>
        </w:div>
        <w:div w:id="466314686">
          <w:marLeft w:val="0"/>
          <w:marRight w:val="0"/>
          <w:marTop w:val="0"/>
          <w:marBottom w:val="0"/>
          <w:divBdr>
            <w:top w:val="none" w:sz="0" w:space="0" w:color="auto"/>
            <w:left w:val="none" w:sz="0" w:space="0" w:color="auto"/>
            <w:bottom w:val="none" w:sz="0" w:space="0" w:color="auto"/>
            <w:right w:val="none" w:sz="0" w:space="0" w:color="auto"/>
          </w:divBdr>
        </w:div>
        <w:div w:id="1275215558">
          <w:marLeft w:val="0"/>
          <w:marRight w:val="0"/>
          <w:marTop w:val="0"/>
          <w:marBottom w:val="0"/>
          <w:divBdr>
            <w:top w:val="none" w:sz="0" w:space="0" w:color="auto"/>
            <w:left w:val="none" w:sz="0" w:space="0" w:color="auto"/>
            <w:bottom w:val="none" w:sz="0" w:space="0" w:color="auto"/>
            <w:right w:val="none" w:sz="0" w:space="0" w:color="auto"/>
          </w:divBdr>
        </w:div>
        <w:div w:id="1093206247">
          <w:marLeft w:val="0"/>
          <w:marRight w:val="0"/>
          <w:marTop w:val="0"/>
          <w:marBottom w:val="0"/>
          <w:divBdr>
            <w:top w:val="none" w:sz="0" w:space="0" w:color="auto"/>
            <w:left w:val="none" w:sz="0" w:space="0" w:color="auto"/>
            <w:bottom w:val="none" w:sz="0" w:space="0" w:color="auto"/>
            <w:right w:val="none" w:sz="0" w:space="0" w:color="auto"/>
          </w:divBdr>
        </w:div>
      </w:divsChild>
    </w:div>
    <w:div w:id="1170214830">
      <w:bodyDiv w:val="1"/>
      <w:marLeft w:val="0"/>
      <w:marRight w:val="0"/>
      <w:marTop w:val="0"/>
      <w:marBottom w:val="0"/>
      <w:divBdr>
        <w:top w:val="none" w:sz="0" w:space="0" w:color="auto"/>
        <w:left w:val="none" w:sz="0" w:space="0" w:color="auto"/>
        <w:bottom w:val="none" w:sz="0" w:space="0" w:color="auto"/>
        <w:right w:val="none" w:sz="0" w:space="0" w:color="auto"/>
      </w:divBdr>
      <w:divsChild>
        <w:div w:id="163279057">
          <w:marLeft w:val="0"/>
          <w:marRight w:val="0"/>
          <w:marTop w:val="0"/>
          <w:marBottom w:val="0"/>
          <w:divBdr>
            <w:top w:val="none" w:sz="0" w:space="0" w:color="auto"/>
            <w:left w:val="none" w:sz="0" w:space="0" w:color="auto"/>
            <w:bottom w:val="none" w:sz="0" w:space="0" w:color="auto"/>
            <w:right w:val="none" w:sz="0" w:space="0" w:color="auto"/>
          </w:divBdr>
        </w:div>
        <w:div w:id="1570000499">
          <w:marLeft w:val="0"/>
          <w:marRight w:val="0"/>
          <w:marTop w:val="0"/>
          <w:marBottom w:val="0"/>
          <w:divBdr>
            <w:top w:val="none" w:sz="0" w:space="0" w:color="auto"/>
            <w:left w:val="none" w:sz="0" w:space="0" w:color="auto"/>
            <w:bottom w:val="none" w:sz="0" w:space="0" w:color="auto"/>
            <w:right w:val="none" w:sz="0" w:space="0" w:color="auto"/>
          </w:divBdr>
          <w:divsChild>
            <w:div w:id="528297761">
              <w:marLeft w:val="0"/>
              <w:marRight w:val="0"/>
              <w:marTop w:val="0"/>
              <w:marBottom w:val="0"/>
              <w:divBdr>
                <w:top w:val="none" w:sz="0" w:space="0" w:color="auto"/>
                <w:left w:val="none" w:sz="0" w:space="0" w:color="auto"/>
                <w:bottom w:val="none" w:sz="0" w:space="0" w:color="auto"/>
                <w:right w:val="none" w:sz="0" w:space="0" w:color="auto"/>
              </w:divBdr>
            </w:div>
            <w:div w:id="179976001">
              <w:marLeft w:val="0"/>
              <w:marRight w:val="0"/>
              <w:marTop w:val="0"/>
              <w:marBottom w:val="0"/>
              <w:divBdr>
                <w:top w:val="none" w:sz="0" w:space="0" w:color="auto"/>
                <w:left w:val="none" w:sz="0" w:space="0" w:color="auto"/>
                <w:bottom w:val="none" w:sz="0" w:space="0" w:color="auto"/>
                <w:right w:val="none" w:sz="0" w:space="0" w:color="auto"/>
              </w:divBdr>
              <w:divsChild>
                <w:div w:id="343173378">
                  <w:marLeft w:val="0"/>
                  <w:marRight w:val="0"/>
                  <w:marTop w:val="0"/>
                  <w:marBottom w:val="0"/>
                  <w:divBdr>
                    <w:top w:val="none" w:sz="0" w:space="0" w:color="auto"/>
                    <w:left w:val="none" w:sz="0" w:space="0" w:color="auto"/>
                    <w:bottom w:val="none" w:sz="0" w:space="0" w:color="auto"/>
                    <w:right w:val="none" w:sz="0" w:space="0" w:color="auto"/>
                  </w:divBdr>
                </w:div>
                <w:div w:id="69608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344958">
          <w:marLeft w:val="0"/>
          <w:marRight w:val="0"/>
          <w:marTop w:val="0"/>
          <w:marBottom w:val="0"/>
          <w:divBdr>
            <w:top w:val="none" w:sz="0" w:space="0" w:color="auto"/>
            <w:left w:val="none" w:sz="0" w:space="0" w:color="auto"/>
            <w:bottom w:val="none" w:sz="0" w:space="0" w:color="auto"/>
            <w:right w:val="none" w:sz="0" w:space="0" w:color="auto"/>
          </w:divBdr>
        </w:div>
        <w:div w:id="2019889566">
          <w:marLeft w:val="0"/>
          <w:marRight w:val="0"/>
          <w:marTop w:val="0"/>
          <w:marBottom w:val="0"/>
          <w:divBdr>
            <w:top w:val="none" w:sz="0" w:space="0" w:color="auto"/>
            <w:left w:val="none" w:sz="0" w:space="0" w:color="auto"/>
            <w:bottom w:val="none" w:sz="0" w:space="0" w:color="auto"/>
            <w:right w:val="none" w:sz="0" w:space="0" w:color="auto"/>
          </w:divBdr>
        </w:div>
        <w:div w:id="1939631728">
          <w:marLeft w:val="0"/>
          <w:marRight w:val="0"/>
          <w:marTop w:val="0"/>
          <w:marBottom w:val="0"/>
          <w:divBdr>
            <w:top w:val="none" w:sz="0" w:space="0" w:color="auto"/>
            <w:left w:val="none" w:sz="0" w:space="0" w:color="auto"/>
            <w:bottom w:val="none" w:sz="0" w:space="0" w:color="auto"/>
            <w:right w:val="none" w:sz="0" w:space="0" w:color="auto"/>
          </w:divBdr>
        </w:div>
        <w:div w:id="1791896964">
          <w:marLeft w:val="0"/>
          <w:marRight w:val="0"/>
          <w:marTop w:val="0"/>
          <w:marBottom w:val="0"/>
          <w:divBdr>
            <w:top w:val="none" w:sz="0" w:space="0" w:color="auto"/>
            <w:left w:val="none" w:sz="0" w:space="0" w:color="auto"/>
            <w:bottom w:val="none" w:sz="0" w:space="0" w:color="auto"/>
            <w:right w:val="none" w:sz="0" w:space="0" w:color="auto"/>
          </w:divBdr>
          <w:divsChild>
            <w:div w:id="1885098526">
              <w:marLeft w:val="0"/>
              <w:marRight w:val="0"/>
              <w:marTop w:val="0"/>
              <w:marBottom w:val="0"/>
              <w:divBdr>
                <w:top w:val="none" w:sz="0" w:space="0" w:color="auto"/>
                <w:left w:val="none" w:sz="0" w:space="0" w:color="auto"/>
                <w:bottom w:val="none" w:sz="0" w:space="0" w:color="auto"/>
                <w:right w:val="none" w:sz="0" w:space="0" w:color="auto"/>
              </w:divBdr>
            </w:div>
            <w:div w:id="1741712237">
              <w:marLeft w:val="0"/>
              <w:marRight w:val="0"/>
              <w:marTop w:val="0"/>
              <w:marBottom w:val="0"/>
              <w:divBdr>
                <w:top w:val="none" w:sz="0" w:space="0" w:color="auto"/>
                <w:left w:val="none" w:sz="0" w:space="0" w:color="auto"/>
                <w:bottom w:val="none" w:sz="0" w:space="0" w:color="auto"/>
                <w:right w:val="none" w:sz="0" w:space="0" w:color="auto"/>
              </w:divBdr>
            </w:div>
            <w:div w:id="2136751838">
              <w:marLeft w:val="0"/>
              <w:marRight w:val="0"/>
              <w:marTop w:val="0"/>
              <w:marBottom w:val="0"/>
              <w:divBdr>
                <w:top w:val="none" w:sz="0" w:space="0" w:color="auto"/>
                <w:left w:val="none" w:sz="0" w:space="0" w:color="auto"/>
                <w:bottom w:val="none" w:sz="0" w:space="0" w:color="auto"/>
                <w:right w:val="none" w:sz="0" w:space="0" w:color="auto"/>
              </w:divBdr>
              <w:divsChild>
                <w:div w:id="1659574313">
                  <w:marLeft w:val="0"/>
                  <w:marRight w:val="0"/>
                  <w:marTop w:val="0"/>
                  <w:marBottom w:val="0"/>
                  <w:divBdr>
                    <w:top w:val="none" w:sz="0" w:space="0" w:color="auto"/>
                    <w:left w:val="none" w:sz="0" w:space="0" w:color="auto"/>
                    <w:bottom w:val="none" w:sz="0" w:space="0" w:color="auto"/>
                    <w:right w:val="none" w:sz="0" w:space="0" w:color="auto"/>
                  </w:divBdr>
                </w:div>
                <w:div w:id="172945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996251">
      <w:bodyDiv w:val="1"/>
      <w:marLeft w:val="0"/>
      <w:marRight w:val="0"/>
      <w:marTop w:val="0"/>
      <w:marBottom w:val="0"/>
      <w:divBdr>
        <w:top w:val="none" w:sz="0" w:space="0" w:color="auto"/>
        <w:left w:val="none" w:sz="0" w:space="0" w:color="auto"/>
        <w:bottom w:val="none" w:sz="0" w:space="0" w:color="auto"/>
        <w:right w:val="none" w:sz="0" w:space="0" w:color="auto"/>
      </w:divBdr>
      <w:divsChild>
        <w:div w:id="462160220">
          <w:marLeft w:val="0"/>
          <w:marRight w:val="0"/>
          <w:marTop w:val="0"/>
          <w:marBottom w:val="0"/>
          <w:divBdr>
            <w:top w:val="none" w:sz="0" w:space="0" w:color="auto"/>
            <w:left w:val="none" w:sz="0" w:space="0" w:color="auto"/>
            <w:bottom w:val="none" w:sz="0" w:space="0" w:color="auto"/>
            <w:right w:val="none" w:sz="0" w:space="0" w:color="auto"/>
          </w:divBdr>
        </w:div>
        <w:div w:id="1880167921">
          <w:marLeft w:val="0"/>
          <w:marRight w:val="0"/>
          <w:marTop w:val="0"/>
          <w:marBottom w:val="0"/>
          <w:divBdr>
            <w:top w:val="none" w:sz="0" w:space="0" w:color="auto"/>
            <w:left w:val="none" w:sz="0" w:space="0" w:color="auto"/>
            <w:bottom w:val="none" w:sz="0" w:space="0" w:color="auto"/>
            <w:right w:val="none" w:sz="0" w:space="0" w:color="auto"/>
          </w:divBdr>
          <w:divsChild>
            <w:div w:id="857700993">
              <w:marLeft w:val="0"/>
              <w:marRight w:val="0"/>
              <w:marTop w:val="0"/>
              <w:marBottom w:val="0"/>
              <w:divBdr>
                <w:top w:val="none" w:sz="0" w:space="0" w:color="auto"/>
                <w:left w:val="none" w:sz="0" w:space="0" w:color="auto"/>
                <w:bottom w:val="none" w:sz="0" w:space="0" w:color="auto"/>
                <w:right w:val="none" w:sz="0" w:space="0" w:color="auto"/>
              </w:divBdr>
            </w:div>
            <w:div w:id="158298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469412">
      <w:bodyDiv w:val="1"/>
      <w:marLeft w:val="0"/>
      <w:marRight w:val="0"/>
      <w:marTop w:val="0"/>
      <w:marBottom w:val="0"/>
      <w:divBdr>
        <w:top w:val="none" w:sz="0" w:space="0" w:color="auto"/>
        <w:left w:val="none" w:sz="0" w:space="0" w:color="auto"/>
        <w:bottom w:val="none" w:sz="0" w:space="0" w:color="auto"/>
        <w:right w:val="none" w:sz="0" w:space="0" w:color="auto"/>
      </w:divBdr>
      <w:divsChild>
        <w:div w:id="333269264">
          <w:marLeft w:val="0"/>
          <w:marRight w:val="0"/>
          <w:marTop w:val="0"/>
          <w:marBottom w:val="0"/>
          <w:divBdr>
            <w:top w:val="none" w:sz="0" w:space="0" w:color="auto"/>
            <w:left w:val="none" w:sz="0" w:space="0" w:color="auto"/>
            <w:bottom w:val="none" w:sz="0" w:space="0" w:color="auto"/>
            <w:right w:val="none" w:sz="0" w:space="0" w:color="auto"/>
          </w:divBdr>
        </w:div>
        <w:div w:id="1987316493">
          <w:marLeft w:val="0"/>
          <w:marRight w:val="0"/>
          <w:marTop w:val="0"/>
          <w:marBottom w:val="0"/>
          <w:divBdr>
            <w:top w:val="none" w:sz="0" w:space="0" w:color="auto"/>
            <w:left w:val="none" w:sz="0" w:space="0" w:color="auto"/>
            <w:bottom w:val="none" w:sz="0" w:space="0" w:color="auto"/>
            <w:right w:val="none" w:sz="0" w:space="0" w:color="auto"/>
          </w:divBdr>
          <w:divsChild>
            <w:div w:id="2001888383">
              <w:marLeft w:val="0"/>
              <w:marRight w:val="0"/>
              <w:marTop w:val="0"/>
              <w:marBottom w:val="0"/>
              <w:divBdr>
                <w:top w:val="none" w:sz="0" w:space="0" w:color="auto"/>
                <w:left w:val="none" w:sz="0" w:space="0" w:color="auto"/>
                <w:bottom w:val="none" w:sz="0" w:space="0" w:color="auto"/>
                <w:right w:val="none" w:sz="0" w:space="0" w:color="auto"/>
              </w:divBdr>
            </w:div>
            <w:div w:id="35377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2E94FF-85F5-448D-9189-8F1D5B38D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3556</Words>
  <Characters>20275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Mr Justice Marcus</dc:creator>
  <cp:keywords/>
  <dc:description/>
  <cp:lastModifiedBy>Smith, Mr Justice Marcus</cp:lastModifiedBy>
  <cp:revision>10</cp:revision>
  <cp:lastPrinted>2018-12-12T13:43:00Z</cp:lastPrinted>
  <dcterms:created xsi:type="dcterms:W3CDTF">2018-12-12T13:43:00Z</dcterms:created>
  <dcterms:modified xsi:type="dcterms:W3CDTF">2018-12-12T14:26:00Z</dcterms:modified>
</cp:coreProperties>
</file>